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176" w:type="dxa"/>
        <w:tblLook w:val="04A0"/>
      </w:tblPr>
      <w:tblGrid>
        <w:gridCol w:w="9640"/>
      </w:tblGrid>
      <w:tr w:rsidR="006E0C65" w:rsidTr="006E0C65">
        <w:tc>
          <w:tcPr>
            <w:tcW w:w="9640" w:type="dxa"/>
          </w:tcPr>
          <w:p w:rsidR="006E0C65" w:rsidRDefault="006E0C65" w:rsidP="00677541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AUDIT REPORT NUMBER:</w:t>
            </w:r>
            <w:r w:rsidR="006F0EE6">
              <w:rPr>
                <w:b/>
              </w:rPr>
              <w:t xml:space="preserve"> </w:t>
            </w:r>
            <w:r w:rsidR="00A67601">
              <w:rPr>
                <w:b/>
              </w:rPr>
              <w:t xml:space="preserve">   </w:t>
            </w:r>
            <w:r w:rsidR="00677541">
              <w:rPr>
                <w:b/>
              </w:rPr>
              <w:t>009 Clause 4</w:t>
            </w:r>
          </w:p>
        </w:tc>
      </w:tr>
    </w:tbl>
    <w:p w:rsidR="00933D4B" w:rsidRDefault="00933D4B" w:rsidP="00D35723">
      <w:pPr>
        <w:tabs>
          <w:tab w:val="center" w:pos="4513"/>
          <w:tab w:val="left" w:pos="5626"/>
        </w:tabs>
        <w:spacing w:after="0"/>
        <w:rPr>
          <w:b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4797"/>
        <w:gridCol w:w="4843"/>
      </w:tblGrid>
      <w:tr w:rsidR="006E0C65" w:rsidTr="006E0C65">
        <w:tc>
          <w:tcPr>
            <w:tcW w:w="4797" w:type="dxa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Auditor(s)</w:t>
            </w:r>
            <w:r w:rsidR="001C3DD9">
              <w:rPr>
                <w:b/>
              </w:rPr>
              <w:t xml:space="preserve"> </w:t>
            </w:r>
            <w:r w:rsidR="001C3DD9" w:rsidRPr="00A67601">
              <w:t>K Burnell</w:t>
            </w:r>
          </w:p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FE6E3C" w:rsidRDefault="006E0C65" w:rsidP="0034247C">
            <w:pPr>
              <w:tabs>
                <w:tab w:val="center" w:pos="4513"/>
                <w:tab w:val="left" w:pos="5626"/>
              </w:tabs>
              <w:rPr>
                <w:b/>
              </w:rPr>
            </w:pPr>
            <w:proofErr w:type="spellStart"/>
            <w:r>
              <w:rPr>
                <w:b/>
              </w:rPr>
              <w:t>Auditee</w:t>
            </w:r>
            <w:proofErr w:type="spellEnd"/>
            <w:r>
              <w:rPr>
                <w:b/>
              </w:rPr>
              <w:t>(s)</w:t>
            </w:r>
            <w:r w:rsidR="005A56B0">
              <w:rPr>
                <w:b/>
              </w:rPr>
              <w:t xml:space="preserve"> </w:t>
            </w:r>
            <w:r w:rsidR="00A67601" w:rsidRPr="00A67601">
              <w:t>R George</w:t>
            </w:r>
          </w:p>
        </w:tc>
        <w:tc>
          <w:tcPr>
            <w:tcW w:w="4843" w:type="dxa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Audit Date</w:t>
            </w:r>
            <w:r w:rsidR="00E05A00">
              <w:rPr>
                <w:b/>
              </w:rPr>
              <w:t xml:space="preserve">       </w:t>
            </w:r>
            <w:r w:rsidR="00A67601" w:rsidRPr="00A67601">
              <w:t>2</w:t>
            </w:r>
            <w:r w:rsidR="00677541">
              <w:t>5</w:t>
            </w:r>
            <w:r w:rsidR="00A67601" w:rsidRPr="00A67601">
              <w:rPr>
                <w:vertAlign w:val="superscript"/>
              </w:rPr>
              <w:t>th</w:t>
            </w:r>
            <w:r w:rsidR="00A67601" w:rsidRPr="00A67601">
              <w:t xml:space="preserve"> July 2017</w:t>
            </w:r>
          </w:p>
          <w:p w:rsidR="00A67601" w:rsidRDefault="00A67601" w:rsidP="0034247C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2D1396" w:rsidRDefault="006E0C65" w:rsidP="00FC05AB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Audit Times</w:t>
            </w:r>
            <w:r w:rsidR="00E05A00">
              <w:rPr>
                <w:b/>
              </w:rPr>
              <w:t xml:space="preserve">    </w:t>
            </w:r>
            <w:r w:rsidR="00677541" w:rsidRPr="00677541">
              <w:t>10:10-10:55</w:t>
            </w:r>
          </w:p>
        </w:tc>
      </w:tr>
    </w:tbl>
    <w:p w:rsidR="006E0C65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4797"/>
        <w:gridCol w:w="4843"/>
      </w:tblGrid>
      <w:tr w:rsidR="006E0C65" w:rsidTr="006E0C65">
        <w:tc>
          <w:tcPr>
            <w:tcW w:w="4797" w:type="dxa"/>
          </w:tcPr>
          <w:p w:rsidR="006E0C65" w:rsidRDefault="006E0C65" w:rsidP="00794E88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Distribution</w:t>
            </w:r>
          </w:p>
        </w:tc>
        <w:tc>
          <w:tcPr>
            <w:tcW w:w="4843" w:type="dxa"/>
          </w:tcPr>
          <w:p w:rsidR="00BD0F78" w:rsidRDefault="00A67601" w:rsidP="00794E88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Steve George (Managing Director)</w:t>
            </w:r>
          </w:p>
          <w:p w:rsidR="00A67601" w:rsidRDefault="00A67601" w:rsidP="00794E88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Richard George (Operations Director)</w:t>
            </w:r>
          </w:p>
        </w:tc>
      </w:tr>
    </w:tbl>
    <w:p w:rsidR="006E0C65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p w:rsidR="00A904D8" w:rsidRDefault="00A904D8" w:rsidP="00A904D8">
      <w:pPr>
        <w:spacing w:after="0"/>
        <w:rPr>
          <w:b/>
        </w:rPr>
      </w:pPr>
      <w:r>
        <w:rPr>
          <w:b/>
        </w:rPr>
        <w:t>Audit Criteria:</w:t>
      </w:r>
    </w:p>
    <w:p w:rsidR="00A904D8" w:rsidRPr="00B11078" w:rsidRDefault="00A904D8" w:rsidP="00A904D8">
      <w:pPr>
        <w:spacing w:after="0"/>
      </w:pPr>
      <w:r w:rsidRPr="00214EA8">
        <w:rPr>
          <w:highlight w:val="green"/>
        </w:rPr>
        <w:t>Passed: - The processes and procedures are conforming to requirements</w:t>
      </w:r>
    </w:p>
    <w:p w:rsidR="00A904D8" w:rsidRPr="00BD0F78" w:rsidRDefault="00A904D8" w:rsidP="00A904D8">
      <w:pPr>
        <w:spacing w:after="0"/>
        <w:rPr>
          <w:highlight w:val="yellow"/>
        </w:rPr>
      </w:pPr>
      <w:r w:rsidRPr="00214EA8">
        <w:rPr>
          <w:highlight w:val="yellow"/>
        </w:rPr>
        <w:t>OFI: - The processes and procedures are conforming to requirements but improvements could be made.</w:t>
      </w:r>
    </w:p>
    <w:p w:rsidR="00A904D8" w:rsidRPr="00B11078" w:rsidRDefault="00A904D8" w:rsidP="00A904D8">
      <w:pPr>
        <w:spacing w:after="0"/>
      </w:pPr>
      <w:r w:rsidRPr="003417A7">
        <w:rPr>
          <w:highlight w:val="cyan"/>
        </w:rPr>
        <w:t xml:space="preserve">Minor Non Conformance: - The processes and procedures do not fulfil a requirement but is unlikely to result in </w:t>
      </w:r>
      <w:r w:rsidR="0034247C">
        <w:rPr>
          <w:highlight w:val="cyan"/>
        </w:rPr>
        <w:t>QMS</w:t>
      </w:r>
      <w:r w:rsidRPr="003417A7">
        <w:rPr>
          <w:highlight w:val="cyan"/>
        </w:rPr>
        <w:t xml:space="preserve"> failure.</w:t>
      </w:r>
    </w:p>
    <w:p w:rsidR="00A904D8" w:rsidRPr="001608C0" w:rsidRDefault="00A904D8" w:rsidP="00A904D8">
      <w:pPr>
        <w:spacing w:after="0"/>
      </w:pPr>
      <w:r w:rsidRPr="00214EA8">
        <w:rPr>
          <w:highlight w:val="red"/>
        </w:rPr>
        <w:t xml:space="preserve">Major Non Conformance: - The processes and procedures do not fulfil a requirement and is likely to result in </w:t>
      </w:r>
      <w:r w:rsidR="0034247C">
        <w:rPr>
          <w:highlight w:val="red"/>
        </w:rPr>
        <w:t>QMS</w:t>
      </w:r>
      <w:r w:rsidRPr="00214EA8">
        <w:rPr>
          <w:highlight w:val="red"/>
        </w:rPr>
        <w:t xml:space="preserve"> failure.</w:t>
      </w:r>
    </w:p>
    <w:p w:rsidR="00A904D8" w:rsidRDefault="00A904D8" w:rsidP="00A904D8">
      <w:pPr>
        <w:tabs>
          <w:tab w:val="center" w:pos="4513"/>
          <w:tab w:val="left" w:pos="5626"/>
        </w:tabs>
        <w:spacing w:after="0"/>
        <w:rPr>
          <w:b/>
        </w:rPr>
      </w:pPr>
    </w:p>
    <w:p w:rsidR="00A904D8" w:rsidRDefault="00A904D8" w:rsidP="00A904D8">
      <w:pPr>
        <w:spacing w:after="0"/>
        <w:rPr>
          <w:b/>
        </w:rPr>
      </w:pPr>
      <w:r>
        <w:rPr>
          <w:b/>
        </w:rPr>
        <w:t>Frequency of audit:</w:t>
      </w:r>
    </w:p>
    <w:p w:rsidR="00A904D8" w:rsidRDefault="00A904D8" w:rsidP="00A904D8">
      <w:pPr>
        <w:spacing w:after="0"/>
      </w:pPr>
      <w:r w:rsidRPr="001608C0">
        <w:t>Audits are carried out at planned intervals as detailed in the audit plan and shall reflect previous audit results and the importance of processes.</w:t>
      </w:r>
    </w:p>
    <w:p w:rsidR="00A904D8" w:rsidRDefault="00A904D8" w:rsidP="00A904D8">
      <w:pPr>
        <w:tabs>
          <w:tab w:val="center" w:pos="4513"/>
          <w:tab w:val="left" w:pos="5626"/>
        </w:tabs>
        <w:spacing w:after="0"/>
        <w:rPr>
          <w:b/>
        </w:rPr>
      </w:pPr>
    </w:p>
    <w:p w:rsidR="00A904D8" w:rsidRPr="001608C0" w:rsidRDefault="00A904D8" w:rsidP="00A904D8">
      <w:pPr>
        <w:spacing w:after="0"/>
      </w:pPr>
      <w:r w:rsidRPr="006E32E4">
        <w:rPr>
          <w:b/>
        </w:rPr>
        <w:t>Audit methods:</w:t>
      </w:r>
    </w:p>
    <w:p w:rsidR="00A904D8" w:rsidRPr="001608C0" w:rsidRDefault="00A904D8" w:rsidP="00A904D8">
      <w:pPr>
        <w:spacing w:after="0"/>
      </w:pPr>
      <w:r w:rsidRPr="001608C0">
        <w:t xml:space="preserve">The audit process is carried out to ensure that planned arrangements and the ISO standard are conforming. They are conducted by independent trained auditors who carry out </w:t>
      </w:r>
      <w:r>
        <w:t>the</w:t>
      </w:r>
      <w:r w:rsidRPr="001608C0">
        <w:t xml:space="preserve"> function in an objective and impartial manner. The frequency of audits is detailed above. They are conducted either at the point of use of a procedure, within a process or department or as a desk audit as appropriate.</w:t>
      </w:r>
    </w:p>
    <w:p w:rsidR="00A904D8" w:rsidRPr="001608C0" w:rsidRDefault="00A904D8" w:rsidP="00A904D8">
      <w:pPr>
        <w:spacing w:after="0"/>
      </w:pPr>
      <w:r w:rsidRPr="001608C0">
        <w:t xml:space="preserve">During the audit process the auditor interacts with the </w:t>
      </w:r>
      <w:proofErr w:type="spellStart"/>
      <w:r w:rsidRPr="001608C0">
        <w:t>auditee</w:t>
      </w:r>
      <w:proofErr w:type="spellEnd"/>
      <w:r w:rsidRPr="001608C0">
        <w:t xml:space="preserve"> in order to obtain objective evidence which can be in the form of documents, statements (verbal or written), records and visual media. This evidence is recorded as detailed below and includes a summary and a final result based on the above audit criteria.</w:t>
      </w:r>
    </w:p>
    <w:p w:rsidR="00A904D8" w:rsidRPr="001608C0" w:rsidRDefault="00A904D8" w:rsidP="00A904D8">
      <w:pPr>
        <w:spacing w:after="0"/>
      </w:pPr>
      <w:r w:rsidRPr="001608C0">
        <w:t xml:space="preserve">This report is signed by both the auditor and the </w:t>
      </w:r>
      <w:proofErr w:type="spellStart"/>
      <w:r w:rsidRPr="001608C0">
        <w:t>auditee</w:t>
      </w:r>
      <w:proofErr w:type="spellEnd"/>
      <w:r w:rsidRPr="001608C0">
        <w:t xml:space="preserve"> to confirm that the audit has been conducted following the above process which includes agreement regarding the selected resulting criteria.</w:t>
      </w:r>
    </w:p>
    <w:p w:rsidR="006E0C65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p w:rsidR="006E0C65" w:rsidRDefault="006E0C65" w:rsidP="006E0C65">
      <w:pPr>
        <w:spacing w:after="0"/>
        <w:rPr>
          <w:b/>
        </w:rPr>
      </w:pPr>
    </w:p>
    <w:p w:rsidR="00934BB5" w:rsidRDefault="00934BB5" w:rsidP="006E0C65">
      <w:pPr>
        <w:spacing w:after="0"/>
        <w:rPr>
          <w:b/>
        </w:rPr>
      </w:pPr>
    </w:p>
    <w:p w:rsidR="006E0C65" w:rsidRDefault="006E0C65" w:rsidP="006E0C65">
      <w:pPr>
        <w:spacing w:after="0"/>
        <w:rPr>
          <w:b/>
        </w:rPr>
      </w:pPr>
      <w:r>
        <w:rPr>
          <w:b/>
        </w:rPr>
        <w:lastRenderedPageBreak/>
        <w:t>Introduction</w:t>
      </w:r>
    </w:p>
    <w:p w:rsidR="006E0C65" w:rsidRPr="00FB3B23" w:rsidRDefault="006E0C65" w:rsidP="006E0C65">
      <w:pPr>
        <w:spacing w:after="0"/>
      </w:pPr>
      <w:r w:rsidRPr="00FB3B23">
        <w:t>This audit was commissioned by</w:t>
      </w:r>
      <w:r w:rsidR="00301FE8">
        <w:t xml:space="preserve"> </w:t>
      </w:r>
      <w:r w:rsidR="0034247C">
        <w:t>EMCS International</w:t>
      </w:r>
      <w:r w:rsidR="00E05A00">
        <w:t xml:space="preserve"> </w:t>
      </w:r>
      <w:r w:rsidR="004D5556">
        <w:t>to ensure that their</w:t>
      </w:r>
      <w:r w:rsidR="00301FE8">
        <w:t xml:space="preserve"> </w:t>
      </w:r>
      <w:r w:rsidR="0034247C">
        <w:t xml:space="preserve">quality management system is </w:t>
      </w:r>
      <w:r w:rsidRPr="00FB3B23">
        <w:t xml:space="preserve">conforming to the requirements of ISO </w:t>
      </w:r>
      <w:r w:rsidR="0034247C">
        <w:t>9001:2015</w:t>
      </w:r>
      <w:r w:rsidRPr="00FB3B23">
        <w:t>. This will ensure that any non-conformances (major or minor) are dealt with accordingly and preventive actions are put in place. The organisation also requires feedback on opportunities for improvement.</w:t>
      </w:r>
    </w:p>
    <w:p w:rsidR="006E0C65" w:rsidRPr="00667611" w:rsidRDefault="006E0C65" w:rsidP="006E0C65">
      <w:pPr>
        <w:spacing w:after="0"/>
      </w:pPr>
    </w:p>
    <w:p w:rsidR="006E0C65" w:rsidRPr="00667611" w:rsidRDefault="006E0C65" w:rsidP="006E0C65">
      <w:pPr>
        <w:spacing w:after="0"/>
        <w:rPr>
          <w:b/>
        </w:rPr>
      </w:pPr>
      <w:r w:rsidRPr="00667611">
        <w:rPr>
          <w:b/>
        </w:rPr>
        <w:t>Scope</w:t>
      </w:r>
    </w:p>
    <w:p w:rsidR="006E0C65" w:rsidRPr="00667611" w:rsidRDefault="00794E88" w:rsidP="006E0C65">
      <w:pPr>
        <w:spacing w:after="0"/>
      </w:pPr>
      <w:r w:rsidRPr="00667611">
        <w:t>Th</w:t>
      </w:r>
      <w:r w:rsidR="00301FE8" w:rsidRPr="00667611">
        <w:t xml:space="preserve">e audit </w:t>
      </w:r>
      <w:r w:rsidR="0034247C">
        <w:t>reviewed</w:t>
      </w:r>
      <w:r w:rsidR="00A67601">
        <w:t xml:space="preserve"> </w:t>
      </w:r>
      <w:r w:rsidR="00677541">
        <w:t>clause 4 of the standard, against the company’s procedures.</w:t>
      </w:r>
    </w:p>
    <w:p w:rsidR="006E0C65" w:rsidRDefault="006E0C65" w:rsidP="006E0C65">
      <w:pPr>
        <w:spacing w:after="0"/>
      </w:pPr>
    </w:p>
    <w:tbl>
      <w:tblPr>
        <w:tblStyle w:val="TableGrid"/>
        <w:tblW w:w="9640" w:type="dxa"/>
        <w:tblInd w:w="-176" w:type="dxa"/>
        <w:tblLook w:val="04A0"/>
      </w:tblPr>
      <w:tblGrid>
        <w:gridCol w:w="9640"/>
      </w:tblGrid>
      <w:tr w:rsidR="006E0C65" w:rsidTr="00C85D17">
        <w:tc>
          <w:tcPr>
            <w:tcW w:w="9640" w:type="dxa"/>
          </w:tcPr>
          <w:p w:rsidR="00607C99" w:rsidRDefault="006E0C65" w:rsidP="00607C99">
            <w:pPr>
              <w:rPr>
                <w:b/>
              </w:rPr>
            </w:pPr>
            <w:r>
              <w:rPr>
                <w:b/>
              </w:rPr>
              <w:t>Documentation reviewed during audit</w:t>
            </w:r>
          </w:p>
          <w:p w:rsidR="00FC05AB" w:rsidRDefault="00A67601" w:rsidP="0028684E">
            <w:r w:rsidRPr="00A67601">
              <w:t>See audits details below</w:t>
            </w:r>
            <w:bookmarkStart w:id="0" w:name="_GoBack"/>
            <w:bookmarkEnd w:id="0"/>
          </w:p>
          <w:p w:rsidR="00677541" w:rsidRPr="00F041D4" w:rsidRDefault="00677541" w:rsidP="0028684E"/>
        </w:tc>
      </w:tr>
    </w:tbl>
    <w:p w:rsidR="006E0C65" w:rsidRDefault="006E0C65" w:rsidP="006E0C65">
      <w:pPr>
        <w:spacing w:after="0"/>
      </w:pPr>
    </w:p>
    <w:tbl>
      <w:tblPr>
        <w:tblStyle w:val="TableGrid"/>
        <w:tblW w:w="9640" w:type="dxa"/>
        <w:tblInd w:w="-176" w:type="dxa"/>
        <w:tblLook w:val="04A0"/>
      </w:tblPr>
      <w:tblGrid>
        <w:gridCol w:w="9640"/>
      </w:tblGrid>
      <w:tr w:rsidR="006E0C65" w:rsidTr="00044CB5">
        <w:trPr>
          <w:trHeight w:val="2249"/>
        </w:trPr>
        <w:tc>
          <w:tcPr>
            <w:tcW w:w="9640" w:type="dxa"/>
          </w:tcPr>
          <w:p w:rsidR="0034247C" w:rsidRPr="00FC05AB" w:rsidRDefault="00C85D17" w:rsidP="006E0C65">
            <w:pPr>
              <w:rPr>
                <w:b/>
              </w:rPr>
            </w:pPr>
            <w:r w:rsidRPr="00C85D17">
              <w:rPr>
                <w:b/>
              </w:rPr>
              <w:t>Details of audit and samples taken</w:t>
            </w:r>
          </w:p>
          <w:p w:rsidR="00FC05AB" w:rsidRDefault="00FC05AB" w:rsidP="006E0C65"/>
          <w:p w:rsidR="00677541" w:rsidRDefault="00677541" w:rsidP="00677541">
            <w:r>
              <w:t>4.1 Context – see Stage 1 notes</w:t>
            </w:r>
          </w:p>
          <w:p w:rsidR="00677541" w:rsidRDefault="00677541" w:rsidP="00677541">
            <w:r>
              <w:t>The company has demonstrated its context through a diagram with its core services as detailed n the documented scope. The diagram also includes support services and external providers</w:t>
            </w:r>
          </w:p>
          <w:p w:rsidR="00677541" w:rsidRDefault="00677541" w:rsidP="00677541"/>
          <w:p w:rsidR="00677541" w:rsidRDefault="00677541" w:rsidP="00677541">
            <w:r>
              <w:t>4.2 Interested parties are identified in the context diagram and referenced within the risk register:</w:t>
            </w:r>
          </w:p>
          <w:p w:rsidR="00677541" w:rsidRDefault="00677541" w:rsidP="00677541">
            <w:r>
              <w:t>IOMG Ship Registry (R29); Training Centres (R31); Clients (R22); Insurance (R21)</w:t>
            </w:r>
          </w:p>
          <w:p w:rsidR="00677541" w:rsidRDefault="00677541" w:rsidP="00677541"/>
          <w:p w:rsidR="00677541" w:rsidRDefault="00677541" w:rsidP="00677541">
            <w:r>
              <w:t xml:space="preserve">4.3 Scope </w:t>
            </w:r>
          </w:p>
          <w:p w:rsidR="00677541" w:rsidRDefault="00677541" w:rsidP="00677541">
            <w:r>
              <w:t xml:space="preserve">The context diagram includes the core services which reflects the documented scope </w:t>
            </w:r>
            <w:proofErr w:type="spellStart"/>
            <w:r>
              <w:t>int</w:t>
            </w:r>
            <w:proofErr w:type="spellEnd"/>
            <w:r>
              <w:t xml:space="preserve"> eh manual (clause 4.3).</w:t>
            </w:r>
          </w:p>
          <w:p w:rsidR="00677541" w:rsidRDefault="00677541" w:rsidP="00677541">
            <w:r w:rsidRPr="00AA2487">
              <w:rPr>
                <w:highlight w:val="cyan"/>
              </w:rPr>
              <w:t>Non-conformance: Scope in manual does not refer to 4.1 and 4.2.</w:t>
            </w:r>
          </w:p>
          <w:p w:rsidR="00677541" w:rsidRDefault="00677541" w:rsidP="00677541"/>
          <w:p w:rsidR="00677541" w:rsidRDefault="00677541" w:rsidP="00677541">
            <w:r>
              <w:t>4.4 QMS and processes are documented in the Business Operating Manual v5 – signed off by the Managing Director and Operations Director.</w:t>
            </w:r>
          </w:p>
          <w:p w:rsidR="00677541" w:rsidRDefault="00677541" w:rsidP="00677541">
            <w:r>
              <w:t>Contents of the manual include:</w:t>
            </w:r>
          </w:p>
          <w:p w:rsidR="00677541" w:rsidRDefault="00677541" w:rsidP="00677541">
            <w:pPr>
              <w:pStyle w:val="ListParagraph"/>
              <w:numPr>
                <w:ilvl w:val="0"/>
                <w:numId w:val="2"/>
              </w:numPr>
            </w:pPr>
            <w:r>
              <w:t>Processes</w:t>
            </w:r>
          </w:p>
          <w:p w:rsidR="00677541" w:rsidRDefault="00677541" w:rsidP="00677541">
            <w:pPr>
              <w:pStyle w:val="ListParagraph"/>
              <w:numPr>
                <w:ilvl w:val="0"/>
                <w:numId w:val="2"/>
              </w:numPr>
            </w:pPr>
            <w:r>
              <w:t>Sequence of events in procedures</w:t>
            </w:r>
          </w:p>
          <w:p w:rsidR="00677541" w:rsidRDefault="00677541" w:rsidP="00677541">
            <w:pPr>
              <w:pStyle w:val="ListParagraph"/>
              <w:numPr>
                <w:ilvl w:val="0"/>
                <w:numId w:val="2"/>
              </w:numPr>
            </w:pPr>
            <w:r>
              <w:t>Monitoring and measuring referred to in company objectives and vision</w:t>
            </w:r>
          </w:p>
          <w:p w:rsidR="00677541" w:rsidRDefault="00677541" w:rsidP="00677541">
            <w:pPr>
              <w:pStyle w:val="ListParagraph"/>
              <w:numPr>
                <w:ilvl w:val="0"/>
                <w:numId w:val="2"/>
              </w:numPr>
            </w:pPr>
            <w:r>
              <w:t>Resources in company structure and skills matrix, office policy, and other supporting documents</w:t>
            </w:r>
          </w:p>
          <w:p w:rsidR="00677541" w:rsidRDefault="00677541" w:rsidP="00677541">
            <w:pPr>
              <w:pStyle w:val="ListParagraph"/>
              <w:numPr>
                <w:ilvl w:val="0"/>
                <w:numId w:val="2"/>
              </w:numPr>
            </w:pPr>
            <w:r>
              <w:t xml:space="preserve">Roles and responsibilities assigned via </w:t>
            </w:r>
            <w:proofErr w:type="spellStart"/>
            <w:r>
              <w:t>Organogram</w:t>
            </w:r>
            <w:proofErr w:type="spellEnd"/>
            <w:r>
              <w:t>: Ops Director = H&amp;S and Quality, Insurance co-ordinator, Area manager, Admin. Manager</w:t>
            </w:r>
          </w:p>
          <w:p w:rsidR="00677541" w:rsidRDefault="00677541" w:rsidP="00677541">
            <w:r w:rsidRPr="005C2994">
              <w:rPr>
                <w:highlight w:val="cyan"/>
              </w:rPr>
              <w:t>Non-conformance: The risk reference numbers from the context diagram are missing from the risk registe</w:t>
            </w:r>
            <w:r w:rsidRPr="00A31A21">
              <w:rPr>
                <w:highlight w:val="cyan"/>
              </w:rPr>
              <w:t>r.</w:t>
            </w:r>
          </w:p>
          <w:p w:rsidR="00677541" w:rsidRDefault="00677541" w:rsidP="00677541">
            <w:r>
              <w:t xml:space="preserve">Risks and opportunities are detailed within the risk register, and </w:t>
            </w:r>
            <w:proofErr w:type="gramStart"/>
            <w:r>
              <w:t>includes</w:t>
            </w:r>
            <w:proofErr w:type="gramEnd"/>
            <w:r>
              <w:t xml:space="preserve"> a heat map.</w:t>
            </w:r>
          </w:p>
          <w:p w:rsidR="00677541" w:rsidRDefault="00677541" w:rsidP="00677541"/>
          <w:p w:rsidR="00677541" w:rsidRDefault="00677541" w:rsidP="00677541">
            <w:r>
              <w:t>Reviewed job descriptions:</w:t>
            </w:r>
          </w:p>
          <w:p w:rsidR="00677541" w:rsidRDefault="00677541" w:rsidP="00677541">
            <w:r>
              <w:lastRenderedPageBreak/>
              <w:t>Operations Director – duties, responsibilities, qualifications, and quality management responsibilities listed including a proactive approach to quality management.</w:t>
            </w:r>
          </w:p>
          <w:p w:rsidR="00677541" w:rsidRDefault="00677541" w:rsidP="00677541">
            <w:r>
              <w:t>The QMS Co-ordinator is the Diving Services Co-ordinator and QMS support (non conformances, customer satisfaction).</w:t>
            </w:r>
          </w:p>
          <w:p w:rsidR="00677541" w:rsidRDefault="00677541" w:rsidP="006E0C65"/>
          <w:p w:rsidR="00677541" w:rsidRDefault="00677541" w:rsidP="006E0C65"/>
          <w:p w:rsidR="00677541" w:rsidRDefault="00677541" w:rsidP="006E0C65"/>
          <w:p w:rsidR="006E0C65" w:rsidRPr="00A96B5A" w:rsidRDefault="006E0C65" w:rsidP="006E0C65">
            <w:pPr>
              <w:rPr>
                <w:b/>
              </w:rPr>
            </w:pPr>
            <w:r w:rsidRPr="00A96B5A">
              <w:rPr>
                <w:b/>
              </w:rPr>
              <w:t>Signed (auditor)                                                                                                           Date</w:t>
            </w:r>
          </w:p>
        </w:tc>
      </w:tr>
    </w:tbl>
    <w:p w:rsidR="0034247C" w:rsidRPr="006E0C65" w:rsidRDefault="0034247C" w:rsidP="006E0C65">
      <w:pPr>
        <w:spacing w:after="0"/>
      </w:pPr>
    </w:p>
    <w:tbl>
      <w:tblPr>
        <w:tblStyle w:val="TableGrid"/>
        <w:tblW w:w="9640" w:type="dxa"/>
        <w:tblInd w:w="-176" w:type="dxa"/>
        <w:tblLook w:val="04A0"/>
      </w:tblPr>
      <w:tblGrid>
        <w:gridCol w:w="2486"/>
        <w:gridCol w:w="2310"/>
        <w:gridCol w:w="2434"/>
        <w:gridCol w:w="2410"/>
      </w:tblGrid>
      <w:tr w:rsidR="006E0C65" w:rsidTr="00677541">
        <w:tc>
          <w:tcPr>
            <w:tcW w:w="2486" w:type="dxa"/>
            <w:shd w:val="clear" w:color="auto" w:fill="auto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Passed</w:t>
            </w:r>
          </w:p>
        </w:tc>
        <w:tc>
          <w:tcPr>
            <w:tcW w:w="2310" w:type="dxa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Major NC</w:t>
            </w:r>
          </w:p>
        </w:tc>
        <w:tc>
          <w:tcPr>
            <w:tcW w:w="2434" w:type="dxa"/>
            <w:shd w:val="clear" w:color="auto" w:fill="00B0F0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Minor NC</w:t>
            </w:r>
            <w:r w:rsidR="00763819">
              <w:rPr>
                <w:b/>
              </w:rPr>
              <w:t xml:space="preserve">   </w:t>
            </w:r>
            <w:r w:rsidR="00677541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77541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O F I</w:t>
            </w:r>
            <w:r w:rsidR="003160F0">
              <w:rPr>
                <w:b/>
              </w:rPr>
              <w:t xml:space="preserve">  </w:t>
            </w:r>
            <w:r w:rsidR="00A67601">
              <w:rPr>
                <w:b/>
              </w:rPr>
              <w:t xml:space="preserve">  </w:t>
            </w:r>
            <w:r w:rsidR="00FC05AB">
              <w:rPr>
                <w:b/>
              </w:rPr>
              <w:t xml:space="preserve">  </w:t>
            </w:r>
          </w:p>
        </w:tc>
      </w:tr>
      <w:tr w:rsidR="006E0C65" w:rsidTr="00E05A00">
        <w:tc>
          <w:tcPr>
            <w:tcW w:w="9640" w:type="dxa"/>
            <w:gridSpan w:val="4"/>
            <w:shd w:val="clear" w:color="auto" w:fill="FFFFFF" w:themeFill="background1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Summary and Results of Audit </w:t>
            </w:r>
            <w:r w:rsidRPr="006E0C65">
              <w:rPr>
                <w:i/>
                <w:sz w:val="20"/>
                <w:szCs w:val="20"/>
              </w:rPr>
              <w:t>(tick appropriate box)</w:t>
            </w:r>
          </w:p>
          <w:p w:rsidR="00A67601" w:rsidRDefault="00A67601" w:rsidP="00A67601">
            <w:pPr>
              <w:rPr>
                <w:highlight w:val="yellow"/>
              </w:rPr>
            </w:pPr>
          </w:p>
          <w:p w:rsidR="00677541" w:rsidRDefault="00677541" w:rsidP="00677541">
            <w:r w:rsidRPr="00AA2487">
              <w:rPr>
                <w:highlight w:val="cyan"/>
              </w:rPr>
              <w:t>Non-conformance: Scope in manual does not refer to 4.1 and 4.2.</w:t>
            </w:r>
          </w:p>
          <w:p w:rsidR="00860EC4" w:rsidRPr="00044CB5" w:rsidRDefault="00860EC4" w:rsidP="00A67601"/>
          <w:p w:rsidR="0034247C" w:rsidRDefault="00677541" w:rsidP="00677541">
            <w:r w:rsidRPr="005C2994">
              <w:rPr>
                <w:highlight w:val="cyan"/>
              </w:rPr>
              <w:t>Non-conformance: The risk reference numbers from the context diagram are missing from the risk registe</w:t>
            </w:r>
            <w:r w:rsidRPr="00A31A21">
              <w:rPr>
                <w:highlight w:val="cyan"/>
              </w:rPr>
              <w:t>r.</w:t>
            </w:r>
          </w:p>
          <w:p w:rsidR="00677541" w:rsidRDefault="00677541" w:rsidP="00677541"/>
          <w:p w:rsidR="00677541" w:rsidRPr="00677541" w:rsidRDefault="00677541" w:rsidP="00677541"/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 xml:space="preserve">Signed (auditor)                                                                                                           </w:t>
            </w:r>
            <w:r w:rsidR="008E6D7D">
              <w:rPr>
                <w:b/>
              </w:rPr>
              <w:t xml:space="preserve"> </w:t>
            </w:r>
            <w:r>
              <w:rPr>
                <w:b/>
              </w:rPr>
              <w:t>Date</w:t>
            </w:r>
          </w:p>
          <w:p w:rsidR="006E0C65" w:rsidRP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Signed (</w:t>
            </w:r>
            <w:proofErr w:type="spellStart"/>
            <w:r>
              <w:rPr>
                <w:b/>
              </w:rPr>
              <w:t>auditee</w:t>
            </w:r>
            <w:proofErr w:type="spellEnd"/>
            <w:r>
              <w:rPr>
                <w:b/>
              </w:rPr>
              <w:t xml:space="preserve">)                                                                                                          </w:t>
            </w:r>
            <w:r w:rsidR="008E6D7D">
              <w:rPr>
                <w:b/>
              </w:rPr>
              <w:t xml:space="preserve"> </w:t>
            </w:r>
            <w:r>
              <w:rPr>
                <w:b/>
              </w:rPr>
              <w:t>Date</w:t>
            </w:r>
          </w:p>
        </w:tc>
      </w:tr>
    </w:tbl>
    <w:p w:rsidR="006E0C65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9640"/>
      </w:tblGrid>
      <w:tr w:rsidR="006E0C65" w:rsidTr="00677541">
        <w:tc>
          <w:tcPr>
            <w:tcW w:w="9640" w:type="dxa"/>
            <w:shd w:val="clear" w:color="auto" w:fill="auto"/>
          </w:tcPr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Corrective Action Agreed</w:t>
            </w:r>
          </w:p>
          <w:p w:rsidR="006E0C65" w:rsidRDefault="006E0C65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4F224D" w:rsidRDefault="004F224D" w:rsidP="00D35723">
            <w:pPr>
              <w:tabs>
                <w:tab w:val="center" w:pos="4513"/>
                <w:tab w:val="left" w:pos="5626"/>
              </w:tabs>
            </w:pPr>
          </w:p>
          <w:p w:rsidR="004F224D" w:rsidRPr="00A67601" w:rsidRDefault="004F224D" w:rsidP="00D35723">
            <w:pPr>
              <w:tabs>
                <w:tab w:val="center" w:pos="4513"/>
                <w:tab w:val="left" w:pos="5626"/>
              </w:tabs>
            </w:pPr>
          </w:p>
          <w:p w:rsidR="006E0C65" w:rsidRDefault="006E0C65" w:rsidP="006E0C65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Signed (auditor)                                                                                                           Date</w:t>
            </w:r>
          </w:p>
          <w:p w:rsidR="006E0C65" w:rsidRDefault="006E0C65" w:rsidP="006E0C65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 xml:space="preserve">Signed (process owner)                                                                                             </w:t>
            </w:r>
            <w:r w:rsidR="008E6D7D">
              <w:rPr>
                <w:b/>
              </w:rPr>
              <w:t xml:space="preserve"> </w:t>
            </w:r>
            <w:r>
              <w:rPr>
                <w:b/>
              </w:rPr>
              <w:t xml:space="preserve"> Date</w:t>
            </w:r>
          </w:p>
        </w:tc>
      </w:tr>
    </w:tbl>
    <w:p w:rsidR="006E0C65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9640"/>
      </w:tblGrid>
      <w:tr w:rsidR="006E0C65" w:rsidTr="00677541">
        <w:tc>
          <w:tcPr>
            <w:tcW w:w="9640" w:type="dxa"/>
            <w:shd w:val="clear" w:color="auto" w:fill="auto"/>
          </w:tcPr>
          <w:p w:rsidR="006E0C65" w:rsidRDefault="000458ED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Corrective action completed</w:t>
            </w:r>
          </w:p>
          <w:p w:rsidR="000458ED" w:rsidRDefault="000458ED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4F224D" w:rsidRDefault="004F224D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4F224D" w:rsidRDefault="004F224D" w:rsidP="00D35723">
            <w:pPr>
              <w:tabs>
                <w:tab w:val="center" w:pos="4513"/>
                <w:tab w:val="left" w:pos="5626"/>
              </w:tabs>
              <w:rPr>
                <w:b/>
              </w:rPr>
            </w:pPr>
          </w:p>
          <w:p w:rsidR="000458ED" w:rsidRDefault="000458ED" w:rsidP="000458ED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>Signed (auditor)                                                                                                           Date</w:t>
            </w:r>
          </w:p>
          <w:p w:rsidR="000458ED" w:rsidRDefault="000458ED" w:rsidP="000458ED">
            <w:pPr>
              <w:tabs>
                <w:tab w:val="center" w:pos="4513"/>
                <w:tab w:val="left" w:pos="5626"/>
              </w:tabs>
              <w:rPr>
                <w:b/>
              </w:rPr>
            </w:pPr>
            <w:r>
              <w:rPr>
                <w:b/>
              </w:rPr>
              <w:t xml:space="preserve">Signed (process owner)                                                                                              </w:t>
            </w:r>
            <w:r w:rsidR="008E6D7D">
              <w:rPr>
                <w:b/>
              </w:rPr>
              <w:t xml:space="preserve"> </w:t>
            </w:r>
            <w:r>
              <w:rPr>
                <w:b/>
              </w:rPr>
              <w:t>Date</w:t>
            </w:r>
          </w:p>
        </w:tc>
      </w:tr>
    </w:tbl>
    <w:p w:rsidR="006E0C65" w:rsidRPr="0034506C" w:rsidRDefault="006E0C65" w:rsidP="00D35723">
      <w:pPr>
        <w:tabs>
          <w:tab w:val="center" w:pos="4513"/>
          <w:tab w:val="left" w:pos="5626"/>
        </w:tabs>
        <w:spacing w:after="0"/>
        <w:rPr>
          <w:b/>
        </w:rPr>
      </w:pPr>
    </w:p>
    <w:sectPr w:rsidR="006E0C65" w:rsidRPr="0034506C" w:rsidSect="00C85D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5A" w:rsidRDefault="00C63E5A" w:rsidP="005D700E">
      <w:pPr>
        <w:spacing w:after="0" w:line="240" w:lineRule="auto"/>
      </w:pPr>
      <w:r>
        <w:separator/>
      </w:r>
    </w:p>
  </w:endnote>
  <w:endnote w:type="continuationSeparator" w:id="0">
    <w:p w:rsidR="00C63E5A" w:rsidRDefault="00C63E5A" w:rsidP="005D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5A" w:rsidRDefault="00C63E5A" w:rsidP="005D700E">
      <w:pPr>
        <w:spacing w:after="0" w:line="240" w:lineRule="auto"/>
      </w:pPr>
      <w:r>
        <w:separator/>
      </w:r>
    </w:p>
  </w:footnote>
  <w:footnote w:type="continuationSeparator" w:id="0">
    <w:p w:rsidR="00C63E5A" w:rsidRDefault="00C63E5A" w:rsidP="005D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40" w:type="dxa"/>
      <w:tblInd w:w="-176" w:type="dxa"/>
      <w:tblLook w:val="04A0"/>
    </w:tblPr>
    <w:tblGrid>
      <w:gridCol w:w="2127"/>
      <w:gridCol w:w="3402"/>
      <w:gridCol w:w="4111"/>
    </w:tblGrid>
    <w:tr w:rsidR="0034506C" w:rsidTr="00D35723">
      <w:tc>
        <w:tcPr>
          <w:tcW w:w="9640" w:type="dxa"/>
          <w:gridSpan w:val="3"/>
        </w:tcPr>
        <w:p w:rsidR="0034506C" w:rsidRPr="00314F63" w:rsidRDefault="00FE6F07" w:rsidP="00D35723">
          <w:pPr>
            <w:pStyle w:val="Header"/>
            <w:jc w:val="center"/>
            <w:rPr>
              <w:b/>
              <w:sz w:val="28"/>
              <w:szCs w:val="28"/>
            </w:rPr>
          </w:pPr>
          <w:r w:rsidRPr="00FE6F07">
            <w:rPr>
              <w:rFonts w:ascii="Arial" w:hAnsi="Arial" w:cs="Arial"/>
              <w:b/>
              <w:bCs/>
              <w:noProof/>
              <w:sz w:val="15"/>
              <w:szCs w:val="15"/>
              <w:lang w:eastAsia="en-GB"/>
            </w:rPr>
            <w:drawing>
              <wp:inline distT="0" distB="0" distL="0" distR="0">
                <wp:extent cx="1033573" cy="784810"/>
                <wp:effectExtent l="19050" t="0" r="0" b="0"/>
                <wp:docPr id="1" name="Picture 1" descr="cid:3338544315_75967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3338544315_759679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474" cy="78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506C" w:rsidTr="00D35723">
      <w:tc>
        <w:tcPr>
          <w:tcW w:w="9640" w:type="dxa"/>
          <w:gridSpan w:val="3"/>
        </w:tcPr>
        <w:p w:rsidR="0034506C" w:rsidRPr="00314F63" w:rsidRDefault="0034506C" w:rsidP="00D35723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Audit Report</w:t>
          </w:r>
        </w:p>
        <w:p w:rsidR="0034506C" w:rsidRDefault="0034506C" w:rsidP="00D35723">
          <w:pPr>
            <w:pStyle w:val="Header"/>
            <w:jc w:val="center"/>
          </w:pPr>
        </w:p>
      </w:tc>
    </w:tr>
    <w:tr w:rsidR="0034506C" w:rsidTr="00D35723">
      <w:tc>
        <w:tcPr>
          <w:tcW w:w="9640" w:type="dxa"/>
          <w:gridSpan w:val="3"/>
        </w:tcPr>
        <w:p w:rsidR="0034506C" w:rsidRPr="00314F63" w:rsidRDefault="00A67601" w:rsidP="00A67601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BS ISO 9001:2015</w:t>
          </w:r>
        </w:p>
      </w:tc>
    </w:tr>
    <w:tr w:rsidR="0034506C" w:rsidTr="00D35723">
      <w:tc>
        <w:tcPr>
          <w:tcW w:w="2127" w:type="dxa"/>
        </w:tcPr>
        <w:p w:rsidR="0034506C" w:rsidRPr="006F6A8D" w:rsidRDefault="0034506C" w:rsidP="006F6A8D">
          <w:pPr>
            <w:pStyle w:val="Header"/>
            <w:rPr>
              <w:b/>
              <w:sz w:val="24"/>
              <w:szCs w:val="24"/>
            </w:rPr>
          </w:pPr>
          <w:r w:rsidRPr="006F6A8D">
            <w:rPr>
              <w:b/>
              <w:sz w:val="24"/>
              <w:szCs w:val="24"/>
            </w:rPr>
            <w:t xml:space="preserve">Issue </w:t>
          </w:r>
          <w:r w:rsidR="006F6A8D" w:rsidRPr="006F6A8D">
            <w:rPr>
              <w:b/>
              <w:sz w:val="24"/>
              <w:szCs w:val="24"/>
            </w:rPr>
            <w:t>1</w:t>
          </w:r>
        </w:p>
      </w:tc>
      <w:tc>
        <w:tcPr>
          <w:tcW w:w="3402" w:type="dxa"/>
        </w:tcPr>
        <w:p w:rsidR="0034506C" w:rsidRPr="00314F63" w:rsidRDefault="0034506C" w:rsidP="005D700E">
          <w:pPr>
            <w:pStyle w:val="Header"/>
            <w:rPr>
              <w:b/>
              <w:sz w:val="24"/>
              <w:szCs w:val="24"/>
            </w:rPr>
          </w:pPr>
          <w:r w:rsidRPr="00314F63">
            <w:rPr>
              <w:b/>
              <w:sz w:val="24"/>
              <w:szCs w:val="24"/>
            </w:rPr>
            <w:t xml:space="preserve">Ref. </w:t>
          </w:r>
          <w:r>
            <w:rPr>
              <w:b/>
              <w:sz w:val="24"/>
              <w:szCs w:val="24"/>
            </w:rPr>
            <w:t>AUDIT</w:t>
          </w:r>
        </w:p>
      </w:tc>
      <w:tc>
        <w:tcPr>
          <w:tcW w:w="4111" w:type="dxa"/>
        </w:tcPr>
        <w:p w:rsidR="0034506C" w:rsidRPr="00314F63" w:rsidRDefault="0034506C" w:rsidP="00D35723">
          <w:pPr>
            <w:pStyle w:val="Header"/>
            <w:rPr>
              <w:b/>
              <w:sz w:val="24"/>
              <w:szCs w:val="24"/>
            </w:rPr>
          </w:pPr>
          <w:r w:rsidRPr="00314F63">
            <w:rPr>
              <w:b/>
              <w:sz w:val="24"/>
              <w:szCs w:val="24"/>
            </w:rPr>
            <w:t>Authorised by:-</w:t>
          </w:r>
          <w:r w:rsidR="003913D3">
            <w:rPr>
              <w:b/>
              <w:sz w:val="24"/>
              <w:szCs w:val="24"/>
            </w:rPr>
            <w:t xml:space="preserve"> K Burnell</w:t>
          </w:r>
        </w:p>
      </w:tc>
    </w:tr>
    <w:tr w:rsidR="0034506C" w:rsidTr="00D35723">
      <w:tc>
        <w:tcPr>
          <w:tcW w:w="2127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34506C" w:rsidRPr="00D05F54" w:rsidRDefault="00D05F54" w:rsidP="00D05F54">
              <w:r w:rsidRPr="00D05F54">
                <w:rPr>
                  <w:b/>
                  <w:sz w:val="24"/>
                </w:rPr>
                <w:t xml:space="preserve">Page </w:t>
              </w:r>
              <w:r w:rsidR="007F08A7" w:rsidRPr="00D05F54">
                <w:rPr>
                  <w:b/>
                  <w:sz w:val="24"/>
                </w:rPr>
                <w:fldChar w:fldCharType="begin"/>
              </w:r>
              <w:r w:rsidRPr="00D05F54">
                <w:rPr>
                  <w:b/>
                  <w:sz w:val="24"/>
                </w:rPr>
                <w:instrText xml:space="preserve"> PAGE </w:instrText>
              </w:r>
              <w:r w:rsidR="007F08A7" w:rsidRPr="00D05F54">
                <w:rPr>
                  <w:b/>
                  <w:sz w:val="24"/>
                </w:rPr>
                <w:fldChar w:fldCharType="separate"/>
              </w:r>
              <w:r w:rsidR="00677541">
                <w:rPr>
                  <w:b/>
                  <w:noProof/>
                  <w:sz w:val="24"/>
                </w:rPr>
                <w:t>2</w:t>
              </w:r>
              <w:r w:rsidR="007F08A7" w:rsidRPr="00D05F54">
                <w:rPr>
                  <w:b/>
                  <w:sz w:val="24"/>
                </w:rPr>
                <w:fldChar w:fldCharType="end"/>
              </w:r>
              <w:r w:rsidRPr="00D05F54">
                <w:rPr>
                  <w:b/>
                  <w:sz w:val="24"/>
                </w:rPr>
                <w:t xml:space="preserve"> of </w:t>
              </w:r>
              <w:r w:rsidR="007F08A7" w:rsidRPr="00D05F54">
                <w:rPr>
                  <w:b/>
                  <w:sz w:val="24"/>
                </w:rPr>
                <w:fldChar w:fldCharType="begin"/>
              </w:r>
              <w:r w:rsidRPr="00D05F54">
                <w:rPr>
                  <w:b/>
                  <w:sz w:val="24"/>
                </w:rPr>
                <w:instrText xml:space="preserve"> NUMPAGES  </w:instrText>
              </w:r>
              <w:r w:rsidR="007F08A7" w:rsidRPr="00D05F54">
                <w:rPr>
                  <w:b/>
                  <w:sz w:val="24"/>
                </w:rPr>
                <w:fldChar w:fldCharType="separate"/>
              </w:r>
              <w:r w:rsidR="00677541">
                <w:rPr>
                  <w:b/>
                  <w:noProof/>
                  <w:sz w:val="24"/>
                </w:rPr>
                <w:t>3</w:t>
              </w:r>
              <w:r w:rsidR="007F08A7" w:rsidRPr="00D05F54">
                <w:rPr>
                  <w:b/>
                  <w:sz w:val="24"/>
                </w:rPr>
                <w:fldChar w:fldCharType="end"/>
              </w:r>
            </w:p>
          </w:sdtContent>
        </w:sdt>
      </w:tc>
      <w:tc>
        <w:tcPr>
          <w:tcW w:w="3402" w:type="dxa"/>
        </w:tcPr>
        <w:p w:rsidR="0034506C" w:rsidRPr="00314F63" w:rsidRDefault="0034506C" w:rsidP="008F5786">
          <w:pPr>
            <w:pStyle w:val="Header"/>
            <w:rPr>
              <w:b/>
              <w:sz w:val="24"/>
              <w:szCs w:val="24"/>
            </w:rPr>
          </w:pPr>
          <w:r w:rsidRPr="00314F63">
            <w:rPr>
              <w:b/>
              <w:sz w:val="24"/>
              <w:szCs w:val="24"/>
            </w:rPr>
            <w:t>Effective Date:</w:t>
          </w:r>
          <w:r w:rsidR="00E96149">
            <w:rPr>
              <w:b/>
              <w:sz w:val="24"/>
              <w:szCs w:val="24"/>
            </w:rPr>
            <w:t xml:space="preserve"> </w:t>
          </w:r>
          <w:r w:rsidR="008F5786">
            <w:rPr>
              <w:b/>
              <w:sz w:val="24"/>
              <w:szCs w:val="24"/>
            </w:rPr>
            <w:t>30</w:t>
          </w:r>
          <w:r w:rsidR="008F5786" w:rsidRPr="008F5786">
            <w:rPr>
              <w:b/>
              <w:sz w:val="24"/>
              <w:szCs w:val="24"/>
              <w:vertAlign w:val="superscript"/>
            </w:rPr>
            <w:t>th</w:t>
          </w:r>
          <w:r w:rsidR="008F5786">
            <w:rPr>
              <w:b/>
              <w:sz w:val="24"/>
              <w:szCs w:val="24"/>
            </w:rPr>
            <w:t xml:space="preserve"> March 2015</w:t>
          </w:r>
        </w:p>
      </w:tc>
      <w:tc>
        <w:tcPr>
          <w:tcW w:w="4111" w:type="dxa"/>
        </w:tcPr>
        <w:p w:rsidR="0034506C" w:rsidRPr="00314F63" w:rsidRDefault="0034506C" w:rsidP="00D35723">
          <w:pPr>
            <w:pStyle w:val="Header"/>
            <w:rPr>
              <w:b/>
              <w:sz w:val="24"/>
              <w:szCs w:val="24"/>
            </w:rPr>
          </w:pPr>
          <w:r w:rsidRPr="00314F63">
            <w:rPr>
              <w:b/>
              <w:sz w:val="24"/>
              <w:szCs w:val="24"/>
            </w:rPr>
            <w:t xml:space="preserve">Classification – </w:t>
          </w:r>
          <w:r>
            <w:rPr>
              <w:b/>
              <w:sz w:val="24"/>
              <w:szCs w:val="24"/>
            </w:rPr>
            <w:t>Restricted Access</w:t>
          </w:r>
        </w:p>
      </w:tc>
    </w:tr>
  </w:tbl>
  <w:p w:rsidR="0034506C" w:rsidRDefault="003450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05C"/>
    <w:multiLevelType w:val="hybridMultilevel"/>
    <w:tmpl w:val="63B474D6"/>
    <w:lvl w:ilvl="0" w:tplc="A1F0E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17A3"/>
    <w:multiLevelType w:val="hybridMultilevel"/>
    <w:tmpl w:val="548CFC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59EC"/>
    <w:multiLevelType w:val="hybridMultilevel"/>
    <w:tmpl w:val="4C1075AC"/>
    <w:lvl w:ilvl="0" w:tplc="EC2E5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66FE"/>
    <w:multiLevelType w:val="hybridMultilevel"/>
    <w:tmpl w:val="1EAAA6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1FCF"/>
    <w:multiLevelType w:val="hybridMultilevel"/>
    <w:tmpl w:val="08BA1D90"/>
    <w:lvl w:ilvl="0" w:tplc="1198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00E"/>
    <w:rsid w:val="0000280C"/>
    <w:rsid w:val="00027D87"/>
    <w:rsid w:val="00042F3B"/>
    <w:rsid w:val="00044CB5"/>
    <w:rsid w:val="000458ED"/>
    <w:rsid w:val="00064DA1"/>
    <w:rsid w:val="000748F3"/>
    <w:rsid w:val="0007649C"/>
    <w:rsid w:val="00082A5A"/>
    <w:rsid w:val="00085184"/>
    <w:rsid w:val="000B6537"/>
    <w:rsid w:val="000C2363"/>
    <w:rsid w:val="000E5298"/>
    <w:rsid w:val="000F1ED6"/>
    <w:rsid w:val="001207D8"/>
    <w:rsid w:val="00121297"/>
    <w:rsid w:val="001305A2"/>
    <w:rsid w:val="00147B84"/>
    <w:rsid w:val="001529ED"/>
    <w:rsid w:val="00167032"/>
    <w:rsid w:val="00173442"/>
    <w:rsid w:val="001A5ABB"/>
    <w:rsid w:val="001C3DD9"/>
    <w:rsid w:val="001E044D"/>
    <w:rsid w:val="00223263"/>
    <w:rsid w:val="00245F0B"/>
    <w:rsid w:val="002503CC"/>
    <w:rsid w:val="0027047F"/>
    <w:rsid w:val="002707C3"/>
    <w:rsid w:val="002747DE"/>
    <w:rsid w:val="00275508"/>
    <w:rsid w:val="00275688"/>
    <w:rsid w:val="0028684E"/>
    <w:rsid w:val="002C47E1"/>
    <w:rsid w:val="002C6843"/>
    <w:rsid w:val="002C799E"/>
    <w:rsid w:val="002D1396"/>
    <w:rsid w:val="002E784E"/>
    <w:rsid w:val="00301FE8"/>
    <w:rsid w:val="003160F0"/>
    <w:rsid w:val="00317BBF"/>
    <w:rsid w:val="0034247C"/>
    <w:rsid w:val="0034506C"/>
    <w:rsid w:val="003569CD"/>
    <w:rsid w:val="00360F5D"/>
    <w:rsid w:val="00363D6B"/>
    <w:rsid w:val="00376174"/>
    <w:rsid w:val="003913D3"/>
    <w:rsid w:val="003922BD"/>
    <w:rsid w:val="00393D8B"/>
    <w:rsid w:val="003A6E6B"/>
    <w:rsid w:val="003B2DB6"/>
    <w:rsid w:val="003D413A"/>
    <w:rsid w:val="003D6B7A"/>
    <w:rsid w:val="00405813"/>
    <w:rsid w:val="00433A57"/>
    <w:rsid w:val="00434302"/>
    <w:rsid w:val="00436D98"/>
    <w:rsid w:val="004403B8"/>
    <w:rsid w:val="004438D2"/>
    <w:rsid w:val="004459FB"/>
    <w:rsid w:val="0045621B"/>
    <w:rsid w:val="00467F62"/>
    <w:rsid w:val="004769FF"/>
    <w:rsid w:val="004A0F70"/>
    <w:rsid w:val="004A4D5E"/>
    <w:rsid w:val="004A57D9"/>
    <w:rsid w:val="004B715C"/>
    <w:rsid w:val="004D5556"/>
    <w:rsid w:val="004E133D"/>
    <w:rsid w:val="004F224D"/>
    <w:rsid w:val="004F7937"/>
    <w:rsid w:val="0050745E"/>
    <w:rsid w:val="00516955"/>
    <w:rsid w:val="00575536"/>
    <w:rsid w:val="005841DD"/>
    <w:rsid w:val="005A56B0"/>
    <w:rsid w:val="005D6AAC"/>
    <w:rsid w:val="005D700E"/>
    <w:rsid w:val="005E6F7D"/>
    <w:rsid w:val="005E700B"/>
    <w:rsid w:val="00602A94"/>
    <w:rsid w:val="00607C99"/>
    <w:rsid w:val="006145AB"/>
    <w:rsid w:val="006307C9"/>
    <w:rsid w:val="006379CE"/>
    <w:rsid w:val="00666281"/>
    <w:rsid w:val="00667611"/>
    <w:rsid w:val="00677541"/>
    <w:rsid w:val="006816E0"/>
    <w:rsid w:val="006C361F"/>
    <w:rsid w:val="006D37A9"/>
    <w:rsid w:val="006D437E"/>
    <w:rsid w:val="006E0C65"/>
    <w:rsid w:val="006F0EE6"/>
    <w:rsid w:val="006F29B0"/>
    <w:rsid w:val="006F6A8D"/>
    <w:rsid w:val="00700223"/>
    <w:rsid w:val="0073493D"/>
    <w:rsid w:val="007522C6"/>
    <w:rsid w:val="00753875"/>
    <w:rsid w:val="00763819"/>
    <w:rsid w:val="007760FC"/>
    <w:rsid w:val="00794E88"/>
    <w:rsid w:val="007C7A15"/>
    <w:rsid w:val="007E39FC"/>
    <w:rsid w:val="007F08A7"/>
    <w:rsid w:val="00842FDD"/>
    <w:rsid w:val="00844867"/>
    <w:rsid w:val="00860EC4"/>
    <w:rsid w:val="00865213"/>
    <w:rsid w:val="00887044"/>
    <w:rsid w:val="008A6E5A"/>
    <w:rsid w:val="008C6243"/>
    <w:rsid w:val="008D679C"/>
    <w:rsid w:val="008E6D7D"/>
    <w:rsid w:val="008F300D"/>
    <w:rsid w:val="008F5786"/>
    <w:rsid w:val="00905CC2"/>
    <w:rsid w:val="009154CB"/>
    <w:rsid w:val="00930D6E"/>
    <w:rsid w:val="00933D4B"/>
    <w:rsid w:val="00934BB5"/>
    <w:rsid w:val="009367B3"/>
    <w:rsid w:val="00947A76"/>
    <w:rsid w:val="00954DFF"/>
    <w:rsid w:val="00962CDE"/>
    <w:rsid w:val="0097167B"/>
    <w:rsid w:val="009803DC"/>
    <w:rsid w:val="00983CF4"/>
    <w:rsid w:val="009A08C2"/>
    <w:rsid w:val="009B16FD"/>
    <w:rsid w:val="009B4D19"/>
    <w:rsid w:val="009B7F65"/>
    <w:rsid w:val="009E41BC"/>
    <w:rsid w:val="009F4C40"/>
    <w:rsid w:val="00A06154"/>
    <w:rsid w:val="00A31C04"/>
    <w:rsid w:val="00A67601"/>
    <w:rsid w:val="00A6770F"/>
    <w:rsid w:val="00A8554B"/>
    <w:rsid w:val="00A904D8"/>
    <w:rsid w:val="00A93292"/>
    <w:rsid w:val="00A96B5A"/>
    <w:rsid w:val="00AC4DE9"/>
    <w:rsid w:val="00AE0B16"/>
    <w:rsid w:val="00AE4DB8"/>
    <w:rsid w:val="00AF17A7"/>
    <w:rsid w:val="00B06A07"/>
    <w:rsid w:val="00B11078"/>
    <w:rsid w:val="00B251A4"/>
    <w:rsid w:val="00B25D1C"/>
    <w:rsid w:val="00B26696"/>
    <w:rsid w:val="00B368E4"/>
    <w:rsid w:val="00B61B19"/>
    <w:rsid w:val="00BA5C5C"/>
    <w:rsid w:val="00BD0F78"/>
    <w:rsid w:val="00BD7042"/>
    <w:rsid w:val="00BD7BD9"/>
    <w:rsid w:val="00BD7FAB"/>
    <w:rsid w:val="00BF30AF"/>
    <w:rsid w:val="00BF6CAA"/>
    <w:rsid w:val="00C01500"/>
    <w:rsid w:val="00C116ED"/>
    <w:rsid w:val="00C27F29"/>
    <w:rsid w:val="00C34A80"/>
    <w:rsid w:val="00C62868"/>
    <w:rsid w:val="00C63E5A"/>
    <w:rsid w:val="00C72168"/>
    <w:rsid w:val="00C80DD6"/>
    <w:rsid w:val="00C8211A"/>
    <w:rsid w:val="00C85D17"/>
    <w:rsid w:val="00C91D3E"/>
    <w:rsid w:val="00CB3050"/>
    <w:rsid w:val="00CF47F8"/>
    <w:rsid w:val="00D05F54"/>
    <w:rsid w:val="00D27487"/>
    <w:rsid w:val="00D33A96"/>
    <w:rsid w:val="00D35723"/>
    <w:rsid w:val="00D56413"/>
    <w:rsid w:val="00D721F3"/>
    <w:rsid w:val="00D752A9"/>
    <w:rsid w:val="00DA4239"/>
    <w:rsid w:val="00DA5787"/>
    <w:rsid w:val="00DB6517"/>
    <w:rsid w:val="00DC4999"/>
    <w:rsid w:val="00E05A00"/>
    <w:rsid w:val="00E0792E"/>
    <w:rsid w:val="00E36011"/>
    <w:rsid w:val="00E507BF"/>
    <w:rsid w:val="00E53DBA"/>
    <w:rsid w:val="00E618E1"/>
    <w:rsid w:val="00E62B02"/>
    <w:rsid w:val="00E75336"/>
    <w:rsid w:val="00E96149"/>
    <w:rsid w:val="00EA7F4D"/>
    <w:rsid w:val="00EB3229"/>
    <w:rsid w:val="00EF3EEA"/>
    <w:rsid w:val="00F041D4"/>
    <w:rsid w:val="00F05FA3"/>
    <w:rsid w:val="00F40ADD"/>
    <w:rsid w:val="00F43F8D"/>
    <w:rsid w:val="00F44406"/>
    <w:rsid w:val="00F471E6"/>
    <w:rsid w:val="00F57CAA"/>
    <w:rsid w:val="00F67A80"/>
    <w:rsid w:val="00F857DD"/>
    <w:rsid w:val="00F97B4E"/>
    <w:rsid w:val="00FA23B3"/>
    <w:rsid w:val="00FA4B0E"/>
    <w:rsid w:val="00FB3B23"/>
    <w:rsid w:val="00FC05AB"/>
    <w:rsid w:val="00FC1F8C"/>
    <w:rsid w:val="00FC7629"/>
    <w:rsid w:val="00FE6E3C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0E"/>
  </w:style>
  <w:style w:type="paragraph" w:styleId="Footer">
    <w:name w:val="footer"/>
    <w:basedOn w:val="Normal"/>
    <w:link w:val="FooterChar"/>
    <w:uiPriority w:val="99"/>
    <w:unhideWhenUsed/>
    <w:rsid w:val="005D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0E"/>
  </w:style>
  <w:style w:type="table" w:styleId="TableGrid">
    <w:name w:val="Table Grid"/>
    <w:basedOn w:val="TableNormal"/>
    <w:uiPriority w:val="59"/>
    <w:rsid w:val="005D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6AC9.345CC4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16</cp:revision>
  <cp:lastPrinted>2016-05-25T08:07:00Z</cp:lastPrinted>
  <dcterms:created xsi:type="dcterms:W3CDTF">2017-07-27T15:46:00Z</dcterms:created>
  <dcterms:modified xsi:type="dcterms:W3CDTF">2017-07-27T16:09:00Z</dcterms:modified>
</cp:coreProperties>
</file>