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398" w:rsidRDefault="00770398" w:rsidP="00770398">
      <w:pPr>
        <w:spacing w:after="0" w:line="240" w:lineRule="auto"/>
        <w:rPr>
          <w:b/>
        </w:rPr>
      </w:pPr>
      <w:r>
        <w:tab/>
      </w:r>
      <w:r>
        <w:tab/>
      </w:r>
      <w:r>
        <w:tab/>
      </w:r>
      <w:r w:rsidR="00686624">
        <w:t xml:space="preserve">                                                                                    </w:t>
      </w:r>
      <w:r w:rsidRPr="00770398">
        <w:rPr>
          <w:b/>
        </w:rPr>
        <w:t>ACCESS CONTROL POLICY</w:t>
      </w:r>
    </w:p>
    <w:p w:rsidR="00770398" w:rsidRDefault="00770398" w:rsidP="00770398">
      <w:pPr>
        <w:spacing w:after="0" w:line="240" w:lineRule="auto"/>
        <w:rPr>
          <w:b/>
        </w:rPr>
      </w:pPr>
    </w:p>
    <w:p w:rsidR="00770398" w:rsidRDefault="00770398" w:rsidP="00770398">
      <w:pPr>
        <w:spacing w:after="0" w:line="240" w:lineRule="auto"/>
      </w:pPr>
      <w:r w:rsidRPr="00770398">
        <w:t xml:space="preserve">This policy </w:t>
      </w:r>
      <w:r>
        <w:t>is issued to ensure that all employees, contractors and other interested parties understand and apply the business requirements for the</w:t>
      </w:r>
      <w:r w:rsidR="00400E77">
        <w:t xml:space="preserve"> control of</w:t>
      </w:r>
      <w:r>
        <w:t xml:space="preserve"> access toinformation.</w:t>
      </w:r>
    </w:p>
    <w:p w:rsidR="0051542E" w:rsidRPr="00F95ED3" w:rsidRDefault="0051542E" w:rsidP="0051542E">
      <w:pPr>
        <w:spacing w:after="0" w:line="240" w:lineRule="auto"/>
      </w:pPr>
      <w:r>
        <w:t xml:space="preserve">It has been established, documented and is reviewed as detailed in </w:t>
      </w:r>
      <w:hyperlink r:id="rId10" w:history="1">
        <w:r w:rsidRPr="00F95ED3">
          <w:rPr>
            <w:rStyle w:val="Hyperlink"/>
            <w:color w:val="auto"/>
          </w:rPr>
          <w:t>the policy review process</w:t>
        </w:r>
      </w:hyperlink>
    </w:p>
    <w:p w:rsidR="00400E77" w:rsidRDefault="00400E77" w:rsidP="00770398">
      <w:pPr>
        <w:spacing w:after="0" w:line="240" w:lineRule="auto"/>
      </w:pPr>
    </w:p>
    <w:p w:rsidR="005833EA" w:rsidRPr="00427AD6" w:rsidRDefault="00400E77" w:rsidP="00770398">
      <w:pPr>
        <w:spacing w:after="0" w:line="240" w:lineRule="auto"/>
        <w:rPr>
          <w:b/>
        </w:rPr>
      </w:pPr>
      <w:r>
        <w:t>The business requires that information, information processing facilities and business processes are controlled as detailed within this policy and associated procedures. This is designed to limit access to information and information facilities</w:t>
      </w:r>
      <w:r w:rsidR="005833EA" w:rsidRPr="00427AD6">
        <w:rPr>
          <w:b/>
        </w:rPr>
        <w:t>.</w:t>
      </w:r>
      <w:r w:rsidR="00427AD6" w:rsidRPr="00427AD6">
        <w:rPr>
          <w:b/>
        </w:rPr>
        <w:t xml:space="preserve"> In particular network and network services controls are particularly important including users operating in public and external areas accessing sensitive or critical business applications.</w:t>
      </w:r>
    </w:p>
    <w:p w:rsidR="005833EA" w:rsidRDefault="005833EA" w:rsidP="00770398">
      <w:pPr>
        <w:spacing w:after="0" w:line="240" w:lineRule="auto"/>
      </w:pPr>
    </w:p>
    <w:p w:rsidR="00400E77" w:rsidRDefault="0051542E" w:rsidP="00770398">
      <w:pPr>
        <w:spacing w:after="0" w:line="240" w:lineRule="auto"/>
      </w:pPr>
      <w:r>
        <w:t>The following table details the assets and controls employed</w:t>
      </w:r>
      <w:r w:rsidR="00FF1B09">
        <w:t xml:space="preserve"> which reflect</w:t>
      </w:r>
      <w:r w:rsidR="00F95ED3">
        <w:t xml:space="preserve"> </w:t>
      </w:r>
      <w:r w:rsidR="00FF1B09">
        <w:t xml:space="preserve">the requirements of the business applications as detailed in the </w:t>
      </w:r>
      <w:hyperlink r:id="rId11" w:history="1">
        <w:r w:rsidRPr="00F95ED3">
          <w:rPr>
            <w:rStyle w:val="Hyperlink"/>
            <w:color w:val="auto"/>
            <w:u w:val="none"/>
          </w:rPr>
          <w:t>risk assessment and treatment plan,</w:t>
        </w:r>
      </w:hyperlink>
      <w:r w:rsidR="00474F36">
        <w:t xml:space="preserve"> and are to be </w:t>
      </w:r>
      <w:r w:rsidR="00A039F3">
        <w:t>adopted</w:t>
      </w:r>
      <w:r w:rsidR="00474F36">
        <w:t xml:space="preserve"> by both users and service providers.</w:t>
      </w:r>
      <w:r w:rsidR="00A039F3">
        <w:t xml:space="preserve"> Clear statements are </w:t>
      </w:r>
      <w:r w:rsidR="00E31FCA">
        <w:t>provided</w:t>
      </w:r>
      <w:r w:rsidR="00A039F3">
        <w:t xml:space="preserve"> to both parties to ensure the</w:t>
      </w:r>
      <w:r w:rsidR="001F7F59">
        <w:t>y</w:t>
      </w:r>
      <w:r w:rsidR="00A039F3">
        <w:t xml:space="preserve"> understand and </w:t>
      </w:r>
      <w:r w:rsidR="008C28F1">
        <w:t>implement the</w:t>
      </w:r>
      <w:r w:rsidR="00A039F3">
        <w:t xml:space="preserve"> relevant access controls</w:t>
      </w:r>
      <w:r w:rsidR="00FF1B09">
        <w:t xml:space="preserve">. </w:t>
      </w:r>
    </w:p>
    <w:p w:rsidR="00FF1B09" w:rsidRDefault="00FF1B09" w:rsidP="00770398">
      <w:pPr>
        <w:spacing w:after="0" w:line="240" w:lineRule="auto"/>
      </w:pPr>
    </w:p>
    <w:tbl>
      <w:tblPr>
        <w:tblStyle w:val="TableGrid"/>
        <w:tblW w:w="17720" w:type="dxa"/>
        <w:tblInd w:w="-743" w:type="dxa"/>
        <w:tblLayout w:type="fixed"/>
        <w:tblLook w:val="04A0" w:firstRow="1" w:lastRow="0" w:firstColumn="1" w:lastColumn="0" w:noHBand="0" w:noVBand="1"/>
      </w:tblPr>
      <w:tblGrid>
        <w:gridCol w:w="2268"/>
        <w:gridCol w:w="2127"/>
        <w:gridCol w:w="1559"/>
        <w:gridCol w:w="2410"/>
        <w:gridCol w:w="1276"/>
        <w:gridCol w:w="1843"/>
        <w:gridCol w:w="1559"/>
        <w:gridCol w:w="1559"/>
        <w:gridCol w:w="1701"/>
        <w:gridCol w:w="1418"/>
      </w:tblGrid>
      <w:tr w:rsidR="00B06A1B" w:rsidTr="00B06A1B">
        <w:tc>
          <w:tcPr>
            <w:tcW w:w="2268" w:type="dxa"/>
          </w:tcPr>
          <w:p w:rsidR="00B06A1B" w:rsidRDefault="00B06A1B" w:rsidP="00F95ED3">
            <w:pPr>
              <w:jc w:val="center"/>
            </w:pPr>
            <w:r w:rsidRPr="00F95ED3">
              <w:t>Access to networks and network services</w:t>
            </w:r>
          </w:p>
          <w:p w:rsidR="00B06A1B" w:rsidRDefault="00B06A1B" w:rsidP="00F95ED3">
            <w:pPr>
              <w:jc w:val="center"/>
            </w:pPr>
            <w:r>
              <w:t>A 9.1.2</w:t>
            </w:r>
          </w:p>
          <w:p w:rsidR="00B06A1B" w:rsidRDefault="00B06A1B" w:rsidP="00F95ED3">
            <w:pPr>
              <w:jc w:val="center"/>
            </w:pPr>
            <w:r>
              <w:t>A 9.2.5</w:t>
            </w:r>
          </w:p>
          <w:p w:rsidR="00B06A1B" w:rsidRPr="00F95ED3" w:rsidRDefault="00B06A1B" w:rsidP="00F95ED3">
            <w:pPr>
              <w:jc w:val="center"/>
            </w:pPr>
            <w:r>
              <w:t>A 9.2.6</w:t>
            </w:r>
          </w:p>
        </w:tc>
        <w:tc>
          <w:tcPr>
            <w:tcW w:w="2127" w:type="dxa"/>
          </w:tcPr>
          <w:p w:rsidR="00B06A1B" w:rsidRDefault="00B06A1B" w:rsidP="00F95ED3">
            <w:pPr>
              <w:jc w:val="center"/>
            </w:pPr>
            <w:r>
              <w:t>User Access Rights to operating systems</w:t>
            </w:r>
          </w:p>
          <w:p w:rsidR="00B06A1B" w:rsidRDefault="00B06A1B" w:rsidP="00F95ED3">
            <w:pPr>
              <w:jc w:val="center"/>
            </w:pPr>
            <w:r>
              <w:t>A 9.2.2</w:t>
            </w:r>
          </w:p>
          <w:p w:rsidR="00B06A1B" w:rsidRDefault="00B06A1B" w:rsidP="00F95ED3">
            <w:pPr>
              <w:jc w:val="center"/>
            </w:pPr>
            <w:r>
              <w:t>A 9.2.1</w:t>
            </w:r>
          </w:p>
          <w:p w:rsidR="00B06A1B" w:rsidRDefault="00B06A1B" w:rsidP="00F95ED3">
            <w:pPr>
              <w:jc w:val="center"/>
            </w:pPr>
            <w:r>
              <w:t>A 9.2.4</w:t>
            </w:r>
          </w:p>
          <w:p w:rsidR="00B06A1B" w:rsidRDefault="00B06A1B" w:rsidP="00F95ED3">
            <w:pPr>
              <w:jc w:val="center"/>
            </w:pPr>
            <w:r>
              <w:t>A 9.2.5</w:t>
            </w:r>
          </w:p>
          <w:p w:rsidR="00B06A1B" w:rsidRDefault="00B06A1B" w:rsidP="00F95ED3">
            <w:pPr>
              <w:jc w:val="center"/>
            </w:pPr>
            <w:r>
              <w:t>A 9.2.6</w:t>
            </w:r>
          </w:p>
          <w:p w:rsidR="00B06A1B" w:rsidRDefault="00B06A1B" w:rsidP="00F95ED3">
            <w:pPr>
              <w:jc w:val="center"/>
            </w:pPr>
            <w:r>
              <w:t>A 9.3.1</w:t>
            </w:r>
          </w:p>
        </w:tc>
        <w:tc>
          <w:tcPr>
            <w:tcW w:w="1559" w:type="dxa"/>
          </w:tcPr>
          <w:p w:rsidR="00B06A1B" w:rsidRDefault="00B06A1B" w:rsidP="00034316">
            <w:r w:rsidRPr="00E6755B">
              <w:t>Roles with privileged access</w:t>
            </w:r>
          </w:p>
          <w:p w:rsidR="00B06A1B" w:rsidRDefault="00B06A1B" w:rsidP="00034316">
            <w:r>
              <w:t>A 9.2.3</w:t>
            </w:r>
          </w:p>
          <w:p w:rsidR="00B06A1B" w:rsidRDefault="00B06A1B" w:rsidP="00034316">
            <w:r>
              <w:t>A 9.2.5</w:t>
            </w:r>
          </w:p>
          <w:p w:rsidR="00B06A1B" w:rsidRPr="00E6755B" w:rsidRDefault="00B06A1B" w:rsidP="00034316">
            <w:r>
              <w:t>A 9.2.6</w:t>
            </w:r>
          </w:p>
          <w:p w:rsidR="00B06A1B" w:rsidRDefault="00B06A1B" w:rsidP="00770398"/>
        </w:tc>
        <w:tc>
          <w:tcPr>
            <w:tcW w:w="2410" w:type="dxa"/>
          </w:tcPr>
          <w:p w:rsidR="00B06A1B" w:rsidRDefault="00B06A1B" w:rsidP="00770398">
            <w:r>
              <w:t>Physical</w:t>
            </w:r>
          </w:p>
          <w:p w:rsidR="00B06A1B" w:rsidRDefault="00B06A1B" w:rsidP="00770398">
            <w:r>
              <w:t>Restrictions</w:t>
            </w:r>
          </w:p>
          <w:p w:rsidR="00B06A1B" w:rsidRDefault="00B06A1B" w:rsidP="00770398">
            <w:r>
              <w:t>A 11</w:t>
            </w:r>
          </w:p>
        </w:tc>
        <w:tc>
          <w:tcPr>
            <w:tcW w:w="1276" w:type="dxa"/>
          </w:tcPr>
          <w:p w:rsidR="00B06A1B" w:rsidRDefault="00B06A1B" w:rsidP="00770398">
            <w:r>
              <w:t>Equipment Siting and Protection</w:t>
            </w:r>
          </w:p>
          <w:p w:rsidR="00B06A1B" w:rsidRDefault="00B06A1B" w:rsidP="00770398">
            <w:r>
              <w:t>A 11.2.1</w:t>
            </w:r>
          </w:p>
        </w:tc>
        <w:tc>
          <w:tcPr>
            <w:tcW w:w="1843" w:type="dxa"/>
          </w:tcPr>
          <w:p w:rsidR="00B06A1B" w:rsidRDefault="00B06A1B" w:rsidP="00770398">
            <w:r>
              <w:t>Secure Disposal and Re – Use of Equipment</w:t>
            </w:r>
          </w:p>
          <w:p w:rsidR="00B06A1B" w:rsidRDefault="00B06A1B" w:rsidP="00770398">
            <w:r>
              <w:t>A 11.2.7</w:t>
            </w:r>
          </w:p>
        </w:tc>
        <w:tc>
          <w:tcPr>
            <w:tcW w:w="1559" w:type="dxa"/>
          </w:tcPr>
          <w:p w:rsidR="00B06A1B" w:rsidRDefault="00B06A1B" w:rsidP="00770398">
            <w:r>
              <w:t>Unattended User Equipment</w:t>
            </w:r>
          </w:p>
          <w:p w:rsidR="00B06A1B" w:rsidRDefault="00B06A1B" w:rsidP="00770398">
            <w:r>
              <w:t>A 11.2.8</w:t>
            </w:r>
          </w:p>
        </w:tc>
        <w:tc>
          <w:tcPr>
            <w:tcW w:w="1559" w:type="dxa"/>
          </w:tcPr>
          <w:p w:rsidR="00B06A1B" w:rsidRPr="00E31FCA" w:rsidRDefault="00B06A1B" w:rsidP="00770398">
            <w:r w:rsidRPr="00E31FCA">
              <w:t>Classification</w:t>
            </w:r>
          </w:p>
          <w:p w:rsidR="00B06A1B" w:rsidRPr="00E31FCA" w:rsidRDefault="00B06A1B" w:rsidP="00770398">
            <w:r w:rsidRPr="00E31FCA">
              <w:t>A 8.2</w:t>
            </w:r>
          </w:p>
          <w:p w:rsidR="00B06A1B" w:rsidRPr="00E31FCA" w:rsidRDefault="00B06A1B" w:rsidP="00770398"/>
        </w:tc>
        <w:tc>
          <w:tcPr>
            <w:tcW w:w="1701" w:type="dxa"/>
          </w:tcPr>
          <w:p w:rsidR="00B06A1B" w:rsidRPr="00E31FCA" w:rsidRDefault="00B06A1B" w:rsidP="00770398">
            <w:r w:rsidRPr="00E31FCA">
              <w:t xml:space="preserve">Legislation and Contractual </w:t>
            </w:r>
          </w:p>
          <w:p w:rsidR="00B06A1B" w:rsidRPr="00E31FCA" w:rsidRDefault="00B06A1B" w:rsidP="00770398">
            <w:r w:rsidRPr="00E31FCA">
              <w:t xml:space="preserve">Obligations </w:t>
            </w:r>
          </w:p>
          <w:p w:rsidR="00B06A1B" w:rsidRPr="00E31FCA" w:rsidRDefault="00B06A1B" w:rsidP="00770398">
            <w:r w:rsidRPr="00E31FCA">
              <w:t>A 18.1  A 18.2.1</w:t>
            </w:r>
          </w:p>
        </w:tc>
        <w:tc>
          <w:tcPr>
            <w:tcW w:w="1418" w:type="dxa"/>
          </w:tcPr>
          <w:p w:rsidR="00B06A1B" w:rsidRDefault="00B06A1B" w:rsidP="00770398">
            <w:r>
              <w:t xml:space="preserve">Significant Events </w:t>
            </w:r>
          </w:p>
          <w:p w:rsidR="00B06A1B" w:rsidRDefault="00B06A1B" w:rsidP="00770398">
            <w:r>
              <w:t>A 16</w:t>
            </w:r>
          </w:p>
        </w:tc>
      </w:tr>
      <w:tr w:rsidR="00B06A1B" w:rsidTr="00B06A1B">
        <w:tc>
          <w:tcPr>
            <w:tcW w:w="2268" w:type="dxa"/>
          </w:tcPr>
          <w:p w:rsidR="00B06A1B" w:rsidRDefault="00B06A1B" w:rsidP="00F95ED3">
            <w:r>
              <w:t>Restricted to privileged access users who have been identified as Group IT personnel or approved 3</w:t>
            </w:r>
            <w:r w:rsidRPr="00F95ED3">
              <w:rPr>
                <w:vertAlign w:val="superscript"/>
              </w:rPr>
              <w:t>rd</w:t>
            </w:r>
            <w:r>
              <w:t xml:space="preserve"> party providers.</w:t>
            </w:r>
          </w:p>
          <w:p w:rsidR="00B06A1B" w:rsidRDefault="00B06A1B" w:rsidP="00F95ED3">
            <w:r>
              <w:t xml:space="preserve">The above access rights are managed and controlled by the Group IT Manager </w:t>
            </w:r>
          </w:p>
        </w:tc>
        <w:tc>
          <w:tcPr>
            <w:tcW w:w="2127" w:type="dxa"/>
          </w:tcPr>
          <w:p w:rsidR="00B06A1B" w:rsidRDefault="00B06A1B" w:rsidP="00F95ED3">
            <w:pPr>
              <w:jc w:val="center"/>
            </w:pPr>
            <w:r>
              <w:t>Users access systems and networks via user names and passwords.</w:t>
            </w:r>
          </w:p>
          <w:p w:rsidR="00B06A1B" w:rsidRDefault="00B06A1B" w:rsidP="00F95ED3">
            <w:pPr>
              <w:jc w:val="center"/>
            </w:pPr>
            <w:r>
              <w:t>These writes are managed and controlled through the Group IT Manager and his support team.</w:t>
            </w:r>
          </w:p>
          <w:p w:rsidR="00B06A1B" w:rsidRPr="00E6755B" w:rsidRDefault="00B06A1B" w:rsidP="00F95ED3">
            <w:pPr>
              <w:jc w:val="center"/>
            </w:pPr>
            <w:r>
              <w:t>HR and Line management request access rights which must be approved by the Group IT Manager or appointed deputy</w:t>
            </w:r>
          </w:p>
        </w:tc>
        <w:tc>
          <w:tcPr>
            <w:tcW w:w="1559" w:type="dxa"/>
          </w:tcPr>
          <w:p w:rsidR="00B06A1B" w:rsidRDefault="00B06A1B" w:rsidP="00770398">
            <w:r>
              <w:t>These are restricted to Group IT and roles operating within the Senior Management Team</w:t>
            </w:r>
          </w:p>
        </w:tc>
        <w:tc>
          <w:tcPr>
            <w:tcW w:w="2410" w:type="dxa"/>
          </w:tcPr>
          <w:p w:rsidR="00B06A1B" w:rsidRDefault="00B06A1B" w:rsidP="003E2E77">
            <w:r>
              <w:t xml:space="preserve">Access to the premises is restricted through the visitor control procedures and employee </w:t>
            </w:r>
          </w:p>
          <w:p w:rsidR="00B06A1B" w:rsidRDefault="00B06A1B" w:rsidP="003E2E77">
            <w:r>
              <w:t xml:space="preserve">“ fob” controls </w:t>
            </w:r>
          </w:p>
          <w:p w:rsidR="00B06A1B" w:rsidRDefault="00B06A1B" w:rsidP="003E2E77">
            <w:r>
              <w:t>There is a documented key policy to restrict keys and to control their issue. A documented lock up procedure protects the premises outside of normal operating hours</w:t>
            </w:r>
          </w:p>
        </w:tc>
        <w:tc>
          <w:tcPr>
            <w:tcW w:w="1276" w:type="dxa"/>
          </w:tcPr>
          <w:p w:rsidR="00B06A1B" w:rsidRDefault="00B06A1B" w:rsidP="00770398">
            <w:r>
              <w:t xml:space="preserve">Equipment is sited within the operating premises and includes specific controls for more sensitive equipment such as servers and networks </w:t>
            </w:r>
          </w:p>
        </w:tc>
        <w:tc>
          <w:tcPr>
            <w:tcW w:w="1843" w:type="dxa"/>
          </w:tcPr>
          <w:p w:rsidR="00B06A1B" w:rsidRDefault="00B06A1B" w:rsidP="00770398">
            <w:r>
              <w:t>When information assets are to be disposed of the business follows its Disposal of Media Policy</w:t>
            </w:r>
          </w:p>
        </w:tc>
        <w:tc>
          <w:tcPr>
            <w:tcW w:w="1559" w:type="dxa"/>
          </w:tcPr>
          <w:p w:rsidR="00B06A1B" w:rsidRDefault="00B06A1B" w:rsidP="00770398">
            <w:r>
              <w:t xml:space="preserve">Users are made aware of security procedures when leaving their equipment. This includes screen lock down and clear desk policies </w:t>
            </w:r>
          </w:p>
        </w:tc>
        <w:tc>
          <w:tcPr>
            <w:tcW w:w="1559" w:type="dxa"/>
          </w:tcPr>
          <w:p w:rsidR="00B06A1B" w:rsidRPr="005833EA" w:rsidRDefault="00B06A1B" w:rsidP="00B06A1B">
            <w:r>
              <w:t>A Classification and Handling Procedure is used to ensure information assets are handled and protected appropriate to their level of risk</w:t>
            </w:r>
          </w:p>
        </w:tc>
        <w:tc>
          <w:tcPr>
            <w:tcW w:w="1701" w:type="dxa"/>
          </w:tcPr>
          <w:p w:rsidR="00B06A1B" w:rsidRPr="005833EA" w:rsidRDefault="00B06A1B" w:rsidP="00770398">
            <w:r w:rsidRPr="005833EA">
              <w:t>Relevant legislation and any contractual obligations regarding limitation of access to data or services</w:t>
            </w:r>
            <w:r>
              <w:t xml:space="preserve"> is recorded in the legal register </w:t>
            </w:r>
          </w:p>
        </w:tc>
        <w:tc>
          <w:tcPr>
            <w:tcW w:w="1418" w:type="dxa"/>
          </w:tcPr>
          <w:p w:rsidR="00B06A1B" w:rsidRPr="00E6755B" w:rsidRDefault="00B06A1B" w:rsidP="00770398">
            <w:r>
              <w:t>Should a security incident or event occur these are recorded and investigate to allow lessons to be learnt and CI developed</w:t>
            </w:r>
          </w:p>
        </w:tc>
      </w:tr>
    </w:tbl>
    <w:p w:rsidR="00C80074" w:rsidRDefault="00C80074" w:rsidP="00770398">
      <w:pPr>
        <w:spacing w:after="0" w:line="240" w:lineRule="auto"/>
      </w:pPr>
    </w:p>
    <w:p w:rsidR="00C80074" w:rsidRDefault="00C80074" w:rsidP="00770398">
      <w:pPr>
        <w:spacing w:after="0" w:line="240" w:lineRule="auto"/>
      </w:pPr>
    </w:p>
    <w:p w:rsidR="00AE213F" w:rsidRDefault="00AE213F" w:rsidP="00770398">
      <w:pPr>
        <w:spacing w:after="0" w:line="240" w:lineRule="auto"/>
        <w:rPr>
          <w:color w:val="FF0000"/>
        </w:rPr>
      </w:pPr>
    </w:p>
    <w:p w:rsidR="009455DB" w:rsidRDefault="009455DB" w:rsidP="00770398">
      <w:pPr>
        <w:spacing w:after="0" w:line="240" w:lineRule="auto"/>
      </w:pPr>
    </w:p>
    <w:p w:rsidR="00AE213F" w:rsidRDefault="00AE213F" w:rsidP="00770398">
      <w:pPr>
        <w:spacing w:after="0" w:line="240" w:lineRule="auto"/>
      </w:pPr>
    </w:p>
    <w:p w:rsidR="00AE213F" w:rsidRPr="00AE213F" w:rsidRDefault="00AE213F" w:rsidP="00770398">
      <w:pPr>
        <w:spacing w:after="0" w:line="240" w:lineRule="auto"/>
      </w:pPr>
    </w:p>
    <w:p w:rsidR="00A34EF7" w:rsidRDefault="00A34EF7" w:rsidP="00770398">
      <w:pPr>
        <w:spacing w:after="0" w:line="240" w:lineRule="auto"/>
      </w:pPr>
    </w:p>
    <w:p w:rsidR="00A34EF7" w:rsidRDefault="00A34EF7" w:rsidP="00770398">
      <w:pPr>
        <w:spacing w:after="0" w:line="240" w:lineRule="auto"/>
      </w:pPr>
    </w:p>
    <w:p w:rsidR="00770398" w:rsidRPr="00770398" w:rsidRDefault="00770398" w:rsidP="00770398">
      <w:pPr>
        <w:spacing w:after="0" w:line="240" w:lineRule="auto"/>
      </w:pPr>
    </w:p>
    <w:p w:rsidR="00770398" w:rsidRDefault="00770398" w:rsidP="00770398">
      <w:pPr>
        <w:spacing w:after="0" w:line="240" w:lineRule="auto"/>
      </w:pPr>
    </w:p>
    <w:p w:rsidR="00770398" w:rsidRDefault="00770398" w:rsidP="00770398">
      <w:pPr>
        <w:spacing w:after="0" w:line="240" w:lineRule="auto"/>
      </w:pPr>
    </w:p>
    <w:p w:rsidR="0044505A" w:rsidRDefault="0044505A" w:rsidP="00770398">
      <w:pPr>
        <w:spacing w:after="0" w:line="240" w:lineRule="auto"/>
      </w:pPr>
    </w:p>
    <w:p w:rsidR="0044505A" w:rsidRPr="00B46AD9" w:rsidRDefault="0044505A" w:rsidP="00770398">
      <w:pPr>
        <w:spacing w:after="0" w:line="240" w:lineRule="auto"/>
        <w:rPr>
          <w:b/>
        </w:rPr>
      </w:pPr>
    </w:p>
    <w:sectPr w:rsidR="0044505A" w:rsidRPr="00B46AD9" w:rsidSect="00F95ED3">
      <w:headerReference w:type="even" r:id="rId12"/>
      <w:headerReference w:type="default" r:id="rId13"/>
      <w:footerReference w:type="even" r:id="rId14"/>
      <w:footerReference w:type="default" r:id="rId15"/>
      <w:headerReference w:type="first" r:id="rId16"/>
      <w:footerReference w:type="first" r:id="rId17"/>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C8" w:rsidRDefault="000134C8" w:rsidP="00645901">
      <w:pPr>
        <w:spacing w:after="0" w:line="240" w:lineRule="auto"/>
      </w:pPr>
      <w:r>
        <w:separator/>
      </w:r>
    </w:p>
  </w:endnote>
  <w:endnote w:type="continuationSeparator" w:id="0">
    <w:p w:rsidR="000134C8" w:rsidRDefault="000134C8" w:rsidP="0064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02" w:rsidRDefault="008209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02" w:rsidRDefault="008209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02" w:rsidRDefault="00820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C8" w:rsidRDefault="000134C8" w:rsidP="00645901">
      <w:pPr>
        <w:spacing w:after="0" w:line="240" w:lineRule="auto"/>
      </w:pPr>
      <w:r>
        <w:separator/>
      </w:r>
    </w:p>
  </w:footnote>
  <w:footnote w:type="continuationSeparator" w:id="0">
    <w:p w:rsidR="000134C8" w:rsidRDefault="000134C8" w:rsidP="006459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02" w:rsidRDefault="008209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8003"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11"/>
      <w:gridCol w:w="5245"/>
      <w:gridCol w:w="8647"/>
    </w:tblGrid>
    <w:tr w:rsidR="003E2E77" w:rsidTr="00F95ED3">
      <w:tc>
        <w:tcPr>
          <w:tcW w:w="18003" w:type="dxa"/>
          <w:gridSpan w:val="3"/>
        </w:tcPr>
        <w:p w:rsidR="003E2E77" w:rsidRPr="00F95ED3" w:rsidRDefault="00CF6E83" w:rsidP="00CF6E83">
          <w:pPr>
            <w:spacing w:line="288" w:lineRule="auto"/>
            <w:rPr>
              <w:b/>
              <w:sz w:val="24"/>
              <w:szCs w:val="24"/>
            </w:rPr>
          </w:pPr>
          <w:r>
            <w:rPr>
              <w:b/>
              <w:noProof/>
              <w:sz w:val="24"/>
              <w:szCs w:val="24"/>
            </w:rPr>
            <w:drawing>
              <wp:anchor distT="0" distB="0" distL="114300" distR="114300" simplePos="0" relativeHeight="251658240" behindDoc="0" locked="0" layoutInCell="1" allowOverlap="1" wp14:anchorId="3D9A43FB" wp14:editId="622EDAD5">
                <wp:simplePos x="0" y="0"/>
                <wp:positionH relativeFrom="column">
                  <wp:posOffset>3270885</wp:posOffset>
                </wp:positionH>
                <wp:positionV relativeFrom="paragraph">
                  <wp:posOffset>109855</wp:posOffset>
                </wp:positionV>
                <wp:extent cx="4709160" cy="4743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9160" cy="474345"/>
                        </a:xfrm>
                        <a:prstGeom prst="rect">
                          <a:avLst/>
                        </a:prstGeom>
                        <a:noFill/>
                      </pic:spPr>
                    </pic:pic>
                  </a:graphicData>
                </a:graphic>
                <wp14:sizeRelH relativeFrom="page">
                  <wp14:pctWidth>0</wp14:pctWidth>
                </wp14:sizeRelH>
                <wp14:sizeRelV relativeFrom="page">
                  <wp14:pctHeight>0</wp14:pctHeight>
                </wp14:sizeRelV>
              </wp:anchor>
            </w:drawing>
          </w:r>
        </w:p>
      </w:tc>
    </w:tr>
    <w:tr w:rsidR="003E2E77" w:rsidTr="00F95ED3">
      <w:tc>
        <w:tcPr>
          <w:tcW w:w="18003" w:type="dxa"/>
          <w:gridSpan w:val="3"/>
        </w:tcPr>
        <w:p w:rsidR="003E2E77" w:rsidRPr="00687138" w:rsidRDefault="003E2E77" w:rsidP="00F95ED3">
          <w:pPr>
            <w:spacing w:line="288" w:lineRule="auto"/>
            <w:jc w:val="center"/>
            <w:rPr>
              <w:b/>
              <w:sz w:val="24"/>
              <w:szCs w:val="24"/>
            </w:rPr>
          </w:pPr>
          <w:r w:rsidRPr="00687138">
            <w:rPr>
              <w:b/>
              <w:sz w:val="24"/>
              <w:szCs w:val="24"/>
            </w:rPr>
            <w:t>Information Security Procedure</w:t>
          </w:r>
        </w:p>
      </w:tc>
    </w:tr>
    <w:tr w:rsidR="003E2E77" w:rsidTr="00F95ED3">
      <w:tc>
        <w:tcPr>
          <w:tcW w:w="18003" w:type="dxa"/>
          <w:gridSpan w:val="3"/>
        </w:tcPr>
        <w:p w:rsidR="003E2E77" w:rsidRPr="00687138" w:rsidRDefault="003E2E77" w:rsidP="00F95ED3">
          <w:pPr>
            <w:spacing w:line="288" w:lineRule="auto"/>
            <w:jc w:val="center"/>
            <w:rPr>
              <w:b/>
              <w:sz w:val="24"/>
              <w:szCs w:val="24"/>
            </w:rPr>
          </w:pPr>
          <w:r w:rsidRPr="00687138">
            <w:rPr>
              <w:b/>
              <w:sz w:val="24"/>
              <w:szCs w:val="24"/>
            </w:rPr>
            <w:t>ISO/IEC 27001:2013</w:t>
          </w:r>
        </w:p>
      </w:tc>
    </w:tr>
    <w:tr w:rsidR="003E2E77" w:rsidTr="00F95ED3">
      <w:tc>
        <w:tcPr>
          <w:tcW w:w="4111" w:type="dxa"/>
        </w:tcPr>
        <w:p w:rsidR="003E2E77" w:rsidRPr="00687138" w:rsidRDefault="003E2E77" w:rsidP="00F95ED3">
          <w:pPr>
            <w:spacing w:line="288" w:lineRule="auto"/>
            <w:jc w:val="center"/>
            <w:rPr>
              <w:b/>
              <w:sz w:val="24"/>
              <w:szCs w:val="24"/>
            </w:rPr>
          </w:pPr>
          <w:r>
            <w:rPr>
              <w:b/>
              <w:sz w:val="24"/>
              <w:szCs w:val="24"/>
            </w:rPr>
            <w:t>Issue   1</w:t>
          </w:r>
        </w:p>
      </w:tc>
      <w:tc>
        <w:tcPr>
          <w:tcW w:w="5245" w:type="dxa"/>
        </w:tcPr>
        <w:p w:rsidR="003E2E77" w:rsidRPr="00687138" w:rsidRDefault="003E2E77" w:rsidP="00F95ED3">
          <w:pPr>
            <w:spacing w:after="0" w:line="240" w:lineRule="auto"/>
            <w:jc w:val="center"/>
            <w:rPr>
              <w:b/>
              <w:sz w:val="24"/>
              <w:szCs w:val="24"/>
            </w:rPr>
          </w:pPr>
          <w:r w:rsidRPr="00687138">
            <w:rPr>
              <w:b/>
              <w:sz w:val="24"/>
              <w:szCs w:val="24"/>
            </w:rPr>
            <w:t xml:space="preserve">Annex A  </w:t>
          </w:r>
          <w:hyperlink r:id="rId2" w:history="1">
            <w:r>
              <w:rPr>
                <w:rStyle w:val="Hyperlink"/>
                <w:b/>
                <w:sz w:val="24"/>
                <w:szCs w:val="24"/>
              </w:rPr>
              <w:t>A9.1.1</w:t>
            </w:r>
          </w:hyperlink>
        </w:p>
        <w:p w:rsidR="003E2E77" w:rsidRPr="00687138" w:rsidRDefault="003E2E77" w:rsidP="00F95ED3">
          <w:pPr>
            <w:jc w:val="center"/>
            <w:rPr>
              <w:b/>
              <w:sz w:val="24"/>
              <w:szCs w:val="24"/>
            </w:rPr>
          </w:pPr>
          <w:r>
            <w:rPr>
              <w:b/>
              <w:sz w:val="24"/>
              <w:szCs w:val="24"/>
            </w:rPr>
            <w:t>Access Control Policy</w:t>
          </w:r>
        </w:p>
      </w:tc>
      <w:tc>
        <w:tcPr>
          <w:tcW w:w="8647" w:type="dxa"/>
          <w:tcBorders>
            <w:bottom w:val="nil"/>
          </w:tcBorders>
        </w:tcPr>
        <w:p w:rsidR="00820902" w:rsidRPr="00687138" w:rsidRDefault="003E2E77" w:rsidP="00F95ED3">
          <w:pPr>
            <w:spacing w:line="288" w:lineRule="auto"/>
            <w:rPr>
              <w:b/>
              <w:sz w:val="24"/>
              <w:szCs w:val="24"/>
            </w:rPr>
          </w:pPr>
          <w:r w:rsidRPr="00687138">
            <w:rPr>
              <w:b/>
              <w:sz w:val="24"/>
              <w:szCs w:val="24"/>
            </w:rPr>
            <w:t>Authorised By :-</w:t>
          </w:r>
          <w:r w:rsidR="00820902">
            <w:rPr>
              <w:b/>
              <w:sz w:val="24"/>
              <w:szCs w:val="24"/>
            </w:rPr>
            <w:t xml:space="preserve"> A Pickett</w:t>
          </w:r>
        </w:p>
      </w:tc>
    </w:tr>
    <w:tr w:rsidR="003E2E77" w:rsidTr="00F95ED3">
      <w:tc>
        <w:tcPr>
          <w:tcW w:w="4111" w:type="dxa"/>
        </w:tcPr>
        <w:sdt>
          <w:sdtPr>
            <w:rPr>
              <w:b/>
              <w:sz w:val="24"/>
              <w:szCs w:val="24"/>
            </w:rPr>
            <w:id w:val="250395305"/>
            <w:docPartObj>
              <w:docPartGallery w:val="Page Numbers (Top of Page)"/>
              <w:docPartUnique/>
            </w:docPartObj>
          </w:sdtPr>
          <w:sdtEndPr/>
          <w:sdtContent>
            <w:sdt>
              <w:sdtPr>
                <w:rPr>
                  <w:b/>
                  <w:sz w:val="24"/>
                  <w:szCs w:val="24"/>
                </w:rPr>
                <w:id w:val="8737372"/>
                <w:docPartObj>
                  <w:docPartGallery w:val="Page Numbers (Top of Page)"/>
                  <w:docPartUnique/>
                </w:docPartObj>
              </w:sdtPr>
              <w:sdtEndPr/>
              <w:sdtContent>
                <w:sdt>
                  <w:sdtPr>
                    <w:rPr>
                      <w:b/>
                    </w:rPr>
                    <w:id w:val="26802365"/>
                    <w:docPartObj>
                      <w:docPartGallery w:val="Page Numbers (Top of Page)"/>
                      <w:docPartUnique/>
                    </w:docPartObj>
                  </w:sdtPr>
                  <w:sdtEndPr/>
                  <w:sdtContent>
                    <w:p w:rsidR="003E2E77" w:rsidRPr="00D9240C" w:rsidRDefault="003E2E77" w:rsidP="00F95ED3">
                      <w:pPr>
                        <w:jc w:val="center"/>
                        <w:rPr>
                          <w:b/>
                        </w:rPr>
                      </w:pPr>
                      <w:r w:rsidRPr="00D9240C">
                        <w:rPr>
                          <w:b/>
                        </w:rPr>
                        <w:t xml:space="preserve">Page </w:t>
                      </w:r>
                      <w:r w:rsidRPr="00D9240C">
                        <w:rPr>
                          <w:b/>
                        </w:rPr>
                        <w:fldChar w:fldCharType="begin"/>
                      </w:r>
                      <w:r w:rsidRPr="00D9240C">
                        <w:rPr>
                          <w:b/>
                        </w:rPr>
                        <w:instrText xml:space="preserve"> PAGE </w:instrText>
                      </w:r>
                      <w:r w:rsidRPr="00D9240C">
                        <w:rPr>
                          <w:b/>
                        </w:rPr>
                        <w:fldChar w:fldCharType="separate"/>
                      </w:r>
                      <w:r w:rsidR="000C580C">
                        <w:rPr>
                          <w:b/>
                          <w:noProof/>
                        </w:rPr>
                        <w:t>1</w:t>
                      </w:r>
                      <w:r w:rsidRPr="00D9240C">
                        <w:rPr>
                          <w:b/>
                        </w:rPr>
                        <w:fldChar w:fldCharType="end"/>
                      </w:r>
                      <w:r w:rsidRPr="00D9240C">
                        <w:rPr>
                          <w:b/>
                        </w:rPr>
                        <w:t xml:space="preserve"> of </w:t>
                      </w:r>
                      <w:r w:rsidRPr="00D9240C">
                        <w:rPr>
                          <w:b/>
                        </w:rPr>
                        <w:fldChar w:fldCharType="begin"/>
                      </w:r>
                      <w:r w:rsidRPr="00D9240C">
                        <w:rPr>
                          <w:b/>
                        </w:rPr>
                        <w:instrText xml:space="preserve"> NUMPAGES  </w:instrText>
                      </w:r>
                      <w:r w:rsidRPr="00D9240C">
                        <w:rPr>
                          <w:b/>
                        </w:rPr>
                        <w:fldChar w:fldCharType="separate"/>
                      </w:r>
                      <w:r w:rsidR="000C580C">
                        <w:rPr>
                          <w:b/>
                          <w:noProof/>
                        </w:rPr>
                        <w:t>2</w:t>
                      </w:r>
                      <w:r w:rsidRPr="00D9240C">
                        <w:rPr>
                          <w:b/>
                        </w:rPr>
                        <w:fldChar w:fldCharType="end"/>
                      </w:r>
                    </w:p>
                  </w:sdtContent>
                </w:sdt>
              </w:sdtContent>
            </w:sdt>
          </w:sdtContent>
        </w:sdt>
      </w:tc>
      <w:tc>
        <w:tcPr>
          <w:tcW w:w="5245" w:type="dxa"/>
        </w:tcPr>
        <w:p w:rsidR="003E2E77" w:rsidRPr="00687138" w:rsidRDefault="003E2E77" w:rsidP="00F95ED3">
          <w:pPr>
            <w:spacing w:line="288" w:lineRule="auto"/>
            <w:jc w:val="center"/>
            <w:rPr>
              <w:b/>
              <w:sz w:val="24"/>
              <w:szCs w:val="24"/>
            </w:rPr>
          </w:pPr>
          <w:r>
            <w:rPr>
              <w:b/>
              <w:sz w:val="24"/>
              <w:szCs w:val="24"/>
            </w:rPr>
            <w:t>Effective Date    1</w:t>
          </w:r>
          <w:r w:rsidRPr="00E31FCA">
            <w:rPr>
              <w:b/>
              <w:sz w:val="24"/>
              <w:szCs w:val="24"/>
              <w:vertAlign w:val="superscript"/>
            </w:rPr>
            <w:t>st</w:t>
          </w:r>
          <w:r>
            <w:rPr>
              <w:b/>
              <w:sz w:val="24"/>
              <w:szCs w:val="24"/>
            </w:rPr>
            <w:t xml:space="preserve"> May 2017</w:t>
          </w:r>
        </w:p>
      </w:tc>
      <w:tc>
        <w:tcPr>
          <w:tcW w:w="8647" w:type="dxa"/>
        </w:tcPr>
        <w:p w:rsidR="003E2E77" w:rsidRPr="00F95ED3" w:rsidRDefault="003E2E77" w:rsidP="00F95ED3">
          <w:pPr>
            <w:spacing w:line="288" w:lineRule="auto"/>
            <w:rPr>
              <w:b/>
              <w:sz w:val="24"/>
              <w:szCs w:val="24"/>
            </w:rPr>
          </w:pPr>
          <w:r w:rsidRPr="00F95ED3">
            <w:rPr>
              <w:b/>
              <w:sz w:val="24"/>
              <w:szCs w:val="24"/>
            </w:rPr>
            <w:t>Classification</w:t>
          </w:r>
          <w:r>
            <w:rPr>
              <w:b/>
              <w:sz w:val="24"/>
              <w:szCs w:val="24"/>
            </w:rPr>
            <w:t xml:space="preserve"> Restricted</w:t>
          </w:r>
        </w:p>
      </w:tc>
    </w:tr>
  </w:tbl>
  <w:p w:rsidR="003E2E77" w:rsidRDefault="003E2E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902" w:rsidRDefault="008209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45901"/>
    <w:rsid w:val="000134C8"/>
    <w:rsid w:val="00015EE5"/>
    <w:rsid w:val="000318E0"/>
    <w:rsid w:val="00034316"/>
    <w:rsid w:val="000C580C"/>
    <w:rsid w:val="0010019C"/>
    <w:rsid w:val="00106B15"/>
    <w:rsid w:val="00130150"/>
    <w:rsid w:val="001F7F59"/>
    <w:rsid w:val="00271173"/>
    <w:rsid w:val="002A46F0"/>
    <w:rsid w:val="002D292F"/>
    <w:rsid w:val="003719E9"/>
    <w:rsid w:val="00387F31"/>
    <w:rsid w:val="003A7B15"/>
    <w:rsid w:val="003E2E77"/>
    <w:rsid w:val="003F70E6"/>
    <w:rsid w:val="00400E77"/>
    <w:rsid w:val="00427AD6"/>
    <w:rsid w:val="0044505A"/>
    <w:rsid w:val="00470A7E"/>
    <w:rsid w:val="00474F36"/>
    <w:rsid w:val="004C3CFF"/>
    <w:rsid w:val="004F1329"/>
    <w:rsid w:val="0051542E"/>
    <w:rsid w:val="00537AFF"/>
    <w:rsid w:val="005833EA"/>
    <w:rsid w:val="00603223"/>
    <w:rsid w:val="006071F1"/>
    <w:rsid w:val="00635462"/>
    <w:rsid w:val="00645901"/>
    <w:rsid w:val="0065035A"/>
    <w:rsid w:val="00686624"/>
    <w:rsid w:val="0069432E"/>
    <w:rsid w:val="00705C13"/>
    <w:rsid w:val="0072572C"/>
    <w:rsid w:val="00770398"/>
    <w:rsid w:val="007A7508"/>
    <w:rsid w:val="007B1831"/>
    <w:rsid w:val="007D4852"/>
    <w:rsid w:val="00820902"/>
    <w:rsid w:val="00885D75"/>
    <w:rsid w:val="008C28F1"/>
    <w:rsid w:val="00902EFA"/>
    <w:rsid w:val="009455DB"/>
    <w:rsid w:val="00996200"/>
    <w:rsid w:val="009C0DD8"/>
    <w:rsid w:val="00A039F3"/>
    <w:rsid w:val="00A34EF7"/>
    <w:rsid w:val="00A7571D"/>
    <w:rsid w:val="00A75F98"/>
    <w:rsid w:val="00AA7F8D"/>
    <w:rsid w:val="00AB7E39"/>
    <w:rsid w:val="00AE156A"/>
    <w:rsid w:val="00AE213F"/>
    <w:rsid w:val="00AF3D61"/>
    <w:rsid w:val="00B06A1B"/>
    <w:rsid w:val="00B46AD9"/>
    <w:rsid w:val="00BF38DF"/>
    <w:rsid w:val="00C078AF"/>
    <w:rsid w:val="00C80074"/>
    <w:rsid w:val="00CF6E83"/>
    <w:rsid w:val="00DA75BA"/>
    <w:rsid w:val="00E03816"/>
    <w:rsid w:val="00E31FCA"/>
    <w:rsid w:val="00E6755B"/>
    <w:rsid w:val="00EA3ADB"/>
    <w:rsid w:val="00ED19A7"/>
    <w:rsid w:val="00EE4AFE"/>
    <w:rsid w:val="00EF5817"/>
    <w:rsid w:val="00F2338F"/>
    <w:rsid w:val="00F95ED3"/>
    <w:rsid w:val="00FC1EB3"/>
    <w:rsid w:val="00FF1B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1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901"/>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645901"/>
  </w:style>
  <w:style w:type="paragraph" w:styleId="Footer">
    <w:name w:val="footer"/>
    <w:basedOn w:val="Normal"/>
    <w:link w:val="FooterChar"/>
    <w:uiPriority w:val="99"/>
    <w:unhideWhenUsed/>
    <w:rsid w:val="00645901"/>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645901"/>
  </w:style>
  <w:style w:type="character" w:styleId="Hyperlink">
    <w:name w:val="Hyperlink"/>
    <w:basedOn w:val="DefaultParagraphFont"/>
    <w:uiPriority w:val="99"/>
    <w:unhideWhenUsed/>
    <w:rsid w:val="00770398"/>
    <w:rPr>
      <w:color w:val="0000FF" w:themeColor="hyperlink"/>
      <w:u w:val="single"/>
    </w:rPr>
  </w:style>
  <w:style w:type="character" w:styleId="FollowedHyperlink">
    <w:name w:val="FollowedHyperlink"/>
    <w:basedOn w:val="DefaultParagraphFont"/>
    <w:uiPriority w:val="99"/>
    <w:semiHidden/>
    <w:unhideWhenUsed/>
    <w:rsid w:val="00770398"/>
    <w:rPr>
      <w:color w:val="800080" w:themeColor="followedHyperlink"/>
      <w:u w:val="single"/>
    </w:rPr>
  </w:style>
  <w:style w:type="table" w:styleId="TableGrid">
    <w:name w:val="Table Grid"/>
    <w:basedOn w:val="TableNormal"/>
    <w:uiPriority w:val="59"/>
    <w:rsid w:val="005154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901"/>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645901"/>
  </w:style>
  <w:style w:type="paragraph" w:styleId="Footer">
    <w:name w:val="footer"/>
    <w:basedOn w:val="Normal"/>
    <w:link w:val="FooterChar"/>
    <w:uiPriority w:val="99"/>
    <w:unhideWhenUsed/>
    <w:rsid w:val="00645901"/>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645901"/>
  </w:style>
  <w:style w:type="character" w:styleId="Hyperlink">
    <w:name w:val="Hyperlink"/>
    <w:basedOn w:val="DefaultParagraphFont"/>
    <w:uiPriority w:val="99"/>
    <w:unhideWhenUsed/>
    <w:rsid w:val="00770398"/>
    <w:rPr>
      <w:color w:val="0000FF" w:themeColor="hyperlink"/>
      <w:u w:val="single"/>
    </w:rPr>
  </w:style>
  <w:style w:type="character" w:styleId="FollowedHyperlink">
    <w:name w:val="FollowedHyperlink"/>
    <w:basedOn w:val="DefaultParagraphFont"/>
    <w:uiPriority w:val="99"/>
    <w:semiHidden/>
    <w:unhideWhenUsed/>
    <w:rsid w:val="00770398"/>
    <w:rPr>
      <w:color w:val="800080" w:themeColor="followedHyperlink"/>
      <w:u w:val="single"/>
    </w:rPr>
  </w:style>
  <w:style w:type="table" w:styleId="TableGrid">
    <w:name w:val="Table Grid"/>
    <w:basedOn w:val="TableNormal"/>
    <w:uiPriority w:val="59"/>
    <w:rsid w:val="005154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kewaigue1/users/steven.downe/ISO/Draft%20TDL/Current%20Documentation/Risk%20Assessment%20and%20Treatment%20Plan.docx"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file://kewaigue1/users/steven.downe/ISO/Draft%20TDL/Current%20Documentation/Information%20Policy%20Review%20Process.doc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file://kewaigue1/users/steven.downe/ISO/Draft%20TDL/Annex%20A%20Requirements%20-%20Objectives%20and%20Controls%202%20(2).doc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e8820f57-6265-425c-815f-2f426a6e5c18">2019-04-30T23:00:00+00:00</Review_x0020_Date>
    <ISO_x0020_Verion xmlns="e8820f57-6265-425c-815f-2f426a6e5c18">1</ISO_x0020_Verion>
    <Owner xmlns="e8820f57-6265-425c-815f-2f426a6e5c18">
      <UserInfo>
        <DisplayName>Alison Pickett</DisplayName>
        <AccountId>123</AccountId>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89A817214F246A5082033A5D81C18" ma:contentTypeVersion="3" ma:contentTypeDescription="Create a new document." ma:contentTypeScope="" ma:versionID="ad8380e0fb246734ee46d16255ea41f4">
  <xsd:schema xmlns:xsd="http://www.w3.org/2001/XMLSchema" xmlns:xs="http://www.w3.org/2001/XMLSchema" xmlns:p="http://schemas.microsoft.com/office/2006/metadata/properties" xmlns:ns2="e8820f57-6265-425c-815f-2f426a6e5c18" targetNamespace="http://schemas.microsoft.com/office/2006/metadata/properties" ma:root="true" ma:fieldsID="2b4b09c4b9efa932cf3cf51f073493e2" ns2:_="">
    <xsd:import namespace="e8820f57-6265-425c-815f-2f426a6e5c18"/>
    <xsd:element name="properties">
      <xsd:complexType>
        <xsd:sequence>
          <xsd:element name="documentManagement">
            <xsd:complexType>
              <xsd:all>
                <xsd:element ref="ns2:Review_x0020_Date" minOccurs="0"/>
                <xsd:element ref="ns2:Owner" minOccurs="0"/>
                <xsd:element ref="ns2:ISO_x0020_Ver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20f57-6265-425c-815f-2f426a6e5c1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_x0020_Verion" ma:index="10" ma:displayName="ISO Version" ma:description="ISO Version" ma:internalName="ISO_x0020_Ver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DEF90-5B1C-48D1-9630-EDB4F971A01B}">
  <ds:schemaRefs>
    <ds:schemaRef ds:uri="http://schemas.microsoft.com/sharepoint/v3/contenttype/forms"/>
  </ds:schemaRefs>
</ds:datastoreItem>
</file>

<file path=customXml/itemProps2.xml><?xml version="1.0" encoding="utf-8"?>
<ds:datastoreItem xmlns:ds="http://schemas.openxmlformats.org/officeDocument/2006/customXml" ds:itemID="{2B200F5A-3E0B-4E2A-B9BB-C6947E43128A}">
  <ds:schemaRefs>
    <ds:schemaRef ds:uri="http://schemas.microsoft.com/office/2006/metadata/properties"/>
    <ds:schemaRef ds:uri="http://schemas.microsoft.com/office/infopath/2007/PartnerControls"/>
    <ds:schemaRef ds:uri="e8820f57-6265-425c-815f-2f426a6e5c18"/>
  </ds:schemaRefs>
</ds:datastoreItem>
</file>

<file path=customXml/itemProps3.xml><?xml version="1.0" encoding="utf-8"?>
<ds:datastoreItem xmlns:ds="http://schemas.openxmlformats.org/officeDocument/2006/customXml" ds:itemID="{05FECEFC-EA24-4B65-8BEC-164A12D2A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20f57-6265-425c-815f-2f426a6e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dc:creator>
  <cp:lastModifiedBy>Ally Kinnin</cp:lastModifiedBy>
  <cp:revision>3</cp:revision>
  <dcterms:created xsi:type="dcterms:W3CDTF">2017-08-23T17:47:00Z</dcterms:created>
  <dcterms:modified xsi:type="dcterms:W3CDTF">2017-08-23T17:52:00Z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0x01010013989A817214F246A5082033A5D81C18</vt:lpwstr>
  </property>
</Properties>
</file>