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D137B6">
            <w:pPr>
              <w:tabs>
                <w:tab w:val="center" w:pos="4513"/>
                <w:tab w:val="left" w:pos="5626"/>
              </w:tabs>
              <w:rPr>
                <w:b/>
              </w:rPr>
            </w:pPr>
            <w:r>
              <w:rPr>
                <w:b/>
              </w:rPr>
              <w:t>AUDIT REPORT NUMBER:</w:t>
            </w:r>
            <w:r w:rsidR="0028684E">
              <w:rPr>
                <w:b/>
              </w:rPr>
              <w:t xml:space="preserve"> </w:t>
            </w:r>
            <w:r w:rsidR="00C71031">
              <w:rPr>
                <w:b/>
              </w:rPr>
              <w:t xml:space="preserve">    09-10-2017-001 </w:t>
            </w:r>
            <w:r w:rsidR="00123B36">
              <w:rPr>
                <w:b/>
              </w:rPr>
              <w:t>Context</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35723">
            <w:pPr>
              <w:tabs>
                <w:tab w:val="center" w:pos="4513"/>
                <w:tab w:val="left" w:pos="5626"/>
              </w:tabs>
              <w:rPr>
                <w:b/>
              </w:rPr>
            </w:pPr>
            <w:r>
              <w:rPr>
                <w:b/>
              </w:rPr>
              <w:t>Auditor(s)</w:t>
            </w:r>
            <w:r w:rsidR="001C3DD9">
              <w:rPr>
                <w:b/>
              </w:rPr>
              <w:t xml:space="preserve"> </w:t>
            </w:r>
            <w:r w:rsidR="00123B36" w:rsidRPr="00123B36">
              <w:t>G Burnell, ISO QA Limited</w:t>
            </w:r>
          </w:p>
          <w:p w:rsidR="006E0C65" w:rsidRDefault="006E0C65" w:rsidP="00D137B6">
            <w:pPr>
              <w:tabs>
                <w:tab w:val="center" w:pos="4513"/>
                <w:tab w:val="left" w:pos="5626"/>
              </w:tabs>
              <w:rPr>
                <w:b/>
              </w:rPr>
            </w:pPr>
            <w:r>
              <w:rPr>
                <w:b/>
              </w:rPr>
              <w:t>Auditee(s)</w:t>
            </w:r>
            <w:r w:rsidR="001C3DD9">
              <w:rPr>
                <w:b/>
              </w:rPr>
              <w:t xml:space="preserve"> </w:t>
            </w:r>
            <w:r w:rsidR="00123B36" w:rsidRPr="00123B36">
              <w:t>Alison Pickett (AP)</w:t>
            </w:r>
          </w:p>
        </w:tc>
        <w:tc>
          <w:tcPr>
            <w:tcW w:w="4843" w:type="dxa"/>
          </w:tcPr>
          <w:p w:rsidR="006E0C65" w:rsidRDefault="006E0C65" w:rsidP="00D35723">
            <w:pPr>
              <w:tabs>
                <w:tab w:val="center" w:pos="4513"/>
                <w:tab w:val="left" w:pos="5626"/>
              </w:tabs>
              <w:rPr>
                <w:b/>
              </w:rPr>
            </w:pPr>
            <w:r>
              <w:rPr>
                <w:b/>
              </w:rPr>
              <w:t>Audit Date</w:t>
            </w:r>
            <w:r w:rsidR="001C3DD9">
              <w:rPr>
                <w:b/>
              </w:rPr>
              <w:t xml:space="preserve"> </w:t>
            </w:r>
            <w:r w:rsidR="00123B36">
              <w:t>9</w:t>
            </w:r>
            <w:r w:rsidR="00123B36" w:rsidRPr="00AC3BDA">
              <w:rPr>
                <w:vertAlign w:val="superscript"/>
              </w:rPr>
              <w:t>th</w:t>
            </w:r>
            <w:r w:rsidR="00123B36">
              <w:t xml:space="preserve"> October 2017</w:t>
            </w:r>
          </w:p>
          <w:p w:rsidR="006E0C65" w:rsidRDefault="006E0C65" w:rsidP="00D137B6">
            <w:pPr>
              <w:tabs>
                <w:tab w:val="center" w:pos="4513"/>
                <w:tab w:val="left" w:pos="5626"/>
              </w:tabs>
              <w:rPr>
                <w:b/>
              </w:rPr>
            </w:pPr>
            <w:r>
              <w:rPr>
                <w:b/>
              </w:rPr>
              <w:t>Audit Times</w:t>
            </w:r>
            <w:r w:rsidR="00B251A4">
              <w:rPr>
                <w:b/>
              </w:rPr>
              <w:t xml:space="preserve"> </w:t>
            </w:r>
            <w:r w:rsidR="003923AB">
              <w:t>10:55-12:00, 13:00</w:t>
            </w:r>
            <w:r w:rsidR="00123B36">
              <w:t>-15:00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6E0C65" w:rsidRDefault="00123B36" w:rsidP="00D35723">
            <w:pPr>
              <w:tabs>
                <w:tab w:val="center" w:pos="4513"/>
                <w:tab w:val="left" w:pos="5626"/>
              </w:tabs>
              <w:rPr>
                <w:b/>
              </w:rPr>
            </w:pPr>
            <w:r>
              <w:rPr>
                <w:b/>
              </w:rPr>
              <w:t>A Pickett</w:t>
            </w:r>
          </w:p>
          <w:p w:rsidR="008F5786" w:rsidRDefault="00123B36"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6E0C65" w:rsidRPr="00FB3B23" w:rsidRDefault="006E0C65" w:rsidP="006E0C65">
      <w:pPr>
        <w:spacing w:after="0"/>
      </w:pPr>
      <w:r w:rsidRPr="00FB3B23">
        <w:t>This audit was commissioned by</w:t>
      </w:r>
      <w:r w:rsidR="00D137B6">
        <w:t xml:space="preserve"> Trade Distribution Limited</w:t>
      </w:r>
      <w:r w:rsidR="001C3DD9" w:rsidRPr="00FB3B23">
        <w:t xml:space="preserve"> </w:t>
      </w:r>
      <w:r w:rsidR="004D5556">
        <w:t>to ensure that their information security</w:t>
      </w:r>
      <w:r w:rsidR="001A14D6">
        <w:t xml:space="preserve"> </w:t>
      </w:r>
      <w:r w:rsidR="008F5786" w:rsidRPr="00FB3B23">
        <w:t>system</w:t>
      </w:r>
      <w:r w:rsidR="00123B36">
        <w:t xml:space="preserve"> and environmental system</w:t>
      </w:r>
      <w:r w:rsidR="001A14D6">
        <w:t xml:space="preserve"> </w:t>
      </w:r>
      <w:r w:rsidR="008F5786" w:rsidRPr="00FB3B23">
        <w:t>is</w:t>
      </w:r>
      <w:r w:rsidRPr="00FB3B23">
        <w:t xml:space="preserve"> conforming to the requirements of </w:t>
      </w:r>
      <w:r w:rsidR="00123B36">
        <w:t xml:space="preserve">ISO 27001:2013 and </w:t>
      </w:r>
      <w:r w:rsidRPr="00FB3B23">
        <w:t xml:space="preserve">ISO </w:t>
      </w:r>
      <w:r w:rsidR="001A14D6">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6E0C65" w:rsidRDefault="00123B36" w:rsidP="006E0C65">
      <w:pPr>
        <w:spacing w:after="0"/>
      </w:pPr>
      <w:r>
        <w:t>The audit reviewed the context of the organisation, including needs and expectations of interested parties, and scope of the systems.</w:t>
      </w: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4A2F4C" w:rsidRDefault="004A2F4C" w:rsidP="004A2F4C">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123B36" w:rsidRDefault="00123B36" w:rsidP="00123B36"/>
          <w:p w:rsidR="00123B36" w:rsidRDefault="00123B36" w:rsidP="00123B36">
            <w:r>
              <w:t xml:space="preserve">The documented system is located in a shared folder (set up as part of induction) which is held on the server. The folder is named “Operations and Compliance”. </w:t>
            </w:r>
            <w:r w:rsidRPr="00BF108E">
              <w:rPr>
                <w:b/>
                <w:color w:val="FF0000"/>
              </w:rPr>
              <w:t>It was noted that the company is</w:t>
            </w:r>
            <w:r w:rsidRPr="00BF108E">
              <w:rPr>
                <w:color w:val="FF0000"/>
              </w:rPr>
              <w:t xml:space="preserve"> </w:t>
            </w:r>
            <w:r>
              <w:rPr>
                <w:b/>
                <w:color w:val="FF0000"/>
              </w:rPr>
              <w:t>l</w:t>
            </w:r>
            <w:r w:rsidRPr="00F6300A">
              <w:rPr>
                <w:b/>
                <w:color w:val="FF0000"/>
              </w:rPr>
              <w:t xml:space="preserve">ooking to move to SharePoint prior to Stage 2, so </w:t>
            </w:r>
            <w:r>
              <w:rPr>
                <w:b/>
                <w:color w:val="FF0000"/>
              </w:rPr>
              <w:t xml:space="preserve">that </w:t>
            </w:r>
            <w:r w:rsidRPr="00F6300A">
              <w:rPr>
                <w:b/>
                <w:color w:val="FF0000"/>
              </w:rPr>
              <w:t>items can be</w:t>
            </w:r>
            <w:r>
              <w:rPr>
                <w:b/>
                <w:color w:val="FF0000"/>
              </w:rPr>
              <w:t xml:space="preserve"> shared</w:t>
            </w:r>
            <w:r w:rsidRPr="00F6300A">
              <w:rPr>
                <w:b/>
                <w:color w:val="FF0000"/>
              </w:rPr>
              <w:t xml:space="preserve"> </w:t>
            </w:r>
            <w:r>
              <w:rPr>
                <w:b/>
                <w:color w:val="FF0000"/>
              </w:rPr>
              <w:t xml:space="preserve">as </w:t>
            </w:r>
            <w:r w:rsidRPr="00F6300A">
              <w:rPr>
                <w:b/>
                <w:color w:val="FF0000"/>
              </w:rPr>
              <w:t>PDF</w:t>
            </w:r>
            <w:r>
              <w:rPr>
                <w:b/>
                <w:color w:val="FF0000"/>
              </w:rPr>
              <w:t>’s, to avoid unauthorised amendments</w:t>
            </w:r>
            <w:r w:rsidRPr="00F6300A">
              <w:rPr>
                <w:b/>
                <w:color w:val="FF0000"/>
              </w:rPr>
              <w:t xml:space="preserve">. </w:t>
            </w:r>
            <w:r w:rsidRPr="00BF108E">
              <w:t xml:space="preserve">This folder has separate areas for ISO </w:t>
            </w:r>
            <w:r>
              <w:t>14001 and ISO 27001, named as such.</w:t>
            </w:r>
          </w:p>
          <w:p w:rsidR="00123B36" w:rsidRDefault="00123B36" w:rsidP="00123B36">
            <w:r w:rsidRPr="00BF108E">
              <w:t>The ISO Context Diagram for the 27001 system (</w:t>
            </w:r>
            <w:r w:rsidRPr="00BF108E">
              <w:rPr>
                <w:b/>
                <w:color w:val="4F81BD" w:themeColor="accent1"/>
              </w:rPr>
              <w:t>see Sample 1</w:t>
            </w:r>
            <w:r w:rsidRPr="00BF108E">
              <w:t>) was reviewed (v1.0 dated 22</w:t>
            </w:r>
            <w:r w:rsidRPr="00BF108E">
              <w:rPr>
                <w:vertAlign w:val="superscript"/>
              </w:rPr>
              <w:t>nd</w:t>
            </w:r>
            <w:r w:rsidRPr="00BF108E">
              <w:t xml:space="preserve"> June 2017)</w:t>
            </w:r>
            <w:proofErr w:type="gramStart"/>
            <w:r w:rsidRPr="00BF108E">
              <w:t>,</w:t>
            </w:r>
            <w:proofErr w:type="gramEnd"/>
            <w:r w:rsidRPr="00BF108E">
              <w:t xml:space="preserve"> This details the</w:t>
            </w:r>
            <w:r>
              <w:t xml:space="preserve"> Core Services, Support Services, and External Providers. AP explained the different elements of the diagram:</w:t>
            </w:r>
          </w:p>
          <w:p w:rsidR="00123B36" w:rsidRDefault="00123B36" w:rsidP="00123B36">
            <w:r>
              <w:t xml:space="preserve">The Core Services is what the company offers to </w:t>
            </w:r>
            <w:r w:rsidR="00CD2D55">
              <w:t>its</w:t>
            </w:r>
            <w:r>
              <w:t xml:space="preserve"> clients daily. This included Distribution, Delivery (Materials Handling), and Warehouse &amp; Storage. AP further explained that the materials handled can be food, scrap, bricks, mortar, and hazardous.</w:t>
            </w:r>
          </w:p>
          <w:p w:rsidR="00123B36" w:rsidRPr="00993EB2" w:rsidRDefault="00123B36" w:rsidP="00123B36">
            <w:r w:rsidRPr="00993EB2">
              <w:t>Support Services included HR, IT Users, Admin</w:t>
            </w:r>
            <w:r>
              <w:t>istration</w:t>
            </w:r>
            <w:r w:rsidRPr="00993EB2">
              <w:t>, Vehicle Maintenance, Vehicle Fuelling, Trailer Maintenance, Parking, and Security.</w:t>
            </w:r>
          </w:p>
          <w:p w:rsidR="00123B36" w:rsidRDefault="00123B36" w:rsidP="00123B36">
            <w:r w:rsidRPr="00993EB2">
              <w:t>External Providers/Interested Parties included</w:t>
            </w:r>
            <w:r>
              <w:t xml:space="preserve"> Disposal of White Goods, Financial Services, Legal, Marketing/Customer Communications (the company does not regularly print brochures), Environment (such as pest control), Neighbours (including residential), and IOM Government (governed by Infrastructure and Department Transport – there can be issues with road closures and roadworks which requires communication with the local Government). AP confirmed that TDL has regular communication with DOT or DOI.</w:t>
            </w:r>
          </w:p>
          <w:p w:rsidR="00123B36" w:rsidRDefault="00123B36" w:rsidP="00123B36">
            <w:r>
              <w:t>Further elements of the diagram were also discussed with AP:</w:t>
            </w:r>
          </w:p>
          <w:p w:rsidR="00123B36" w:rsidRDefault="00123B36" w:rsidP="00123B36">
            <w:pPr>
              <w:pStyle w:val="ListParagraph"/>
              <w:numPr>
                <w:ilvl w:val="0"/>
                <w:numId w:val="1"/>
              </w:numPr>
            </w:pPr>
            <w:r>
              <w:t>Shipping – TDL has started to measure CO2 for this</w:t>
            </w:r>
          </w:p>
          <w:p w:rsidR="00123B36" w:rsidRDefault="00123B36" w:rsidP="00123B36">
            <w:pPr>
              <w:pStyle w:val="ListParagraph"/>
              <w:numPr>
                <w:ilvl w:val="0"/>
                <w:numId w:val="1"/>
              </w:numPr>
            </w:pPr>
            <w:r>
              <w:t>Suppliers – one off, or can go elsewhere – make them aware of TDL ISO standards and what their intentions are.</w:t>
            </w:r>
          </w:p>
          <w:p w:rsidR="00123B36" w:rsidRDefault="00123B36" w:rsidP="00123B36">
            <w:pPr>
              <w:pStyle w:val="ListParagraph"/>
              <w:numPr>
                <w:ilvl w:val="0"/>
                <w:numId w:val="1"/>
              </w:numPr>
            </w:pPr>
            <w:r>
              <w:lastRenderedPageBreak/>
              <w:t>Contractors – SLA’s – IT contractors (cloud based programmes, server programmes) – review meetings, performance level meetings</w:t>
            </w:r>
          </w:p>
          <w:p w:rsidR="00123B36" w:rsidRDefault="00123B36" w:rsidP="00123B36">
            <w:pPr>
              <w:pStyle w:val="ListParagraph"/>
              <w:numPr>
                <w:ilvl w:val="0"/>
                <w:numId w:val="1"/>
              </w:numPr>
            </w:pPr>
            <w:r>
              <w:t>Utilities – Gas, electricity, water, fuel</w:t>
            </w:r>
          </w:p>
          <w:p w:rsidR="00123B36" w:rsidRDefault="00123B36" w:rsidP="00123B36">
            <w:pPr>
              <w:pStyle w:val="ListParagraph"/>
              <w:numPr>
                <w:ilvl w:val="0"/>
                <w:numId w:val="1"/>
              </w:numPr>
            </w:pPr>
            <w:r>
              <w:t>IT providers – see contractors</w:t>
            </w:r>
          </w:p>
          <w:p w:rsidR="00123B36" w:rsidRDefault="00123B36" w:rsidP="00123B36">
            <w:pPr>
              <w:pStyle w:val="ListParagraph"/>
              <w:numPr>
                <w:ilvl w:val="0"/>
                <w:numId w:val="1"/>
              </w:numPr>
            </w:pPr>
            <w:r>
              <w:t>Building &amp; Building Services – TDL have tenancy agreement with IOM Breweries which includes parking, site behaviour, and housekeeping. Mickey Cowell is responsible for depot management.</w:t>
            </w:r>
          </w:p>
          <w:p w:rsidR="00123B36" w:rsidRDefault="00123B36" w:rsidP="00123B36">
            <w:pPr>
              <w:pStyle w:val="ListParagraph"/>
              <w:numPr>
                <w:ilvl w:val="0"/>
                <w:numId w:val="1"/>
              </w:numPr>
            </w:pPr>
            <w:r>
              <w:t>Landlord – see Building &amp; Building Services</w:t>
            </w:r>
          </w:p>
          <w:p w:rsidR="00123B36" w:rsidRDefault="00123B36" w:rsidP="00123B36">
            <w:pPr>
              <w:pStyle w:val="ListParagraph"/>
              <w:numPr>
                <w:ilvl w:val="0"/>
                <w:numId w:val="1"/>
              </w:numPr>
            </w:pPr>
            <w:r>
              <w:t>Telecommunications – Manx Telecom – internet provider as backup (controlled through Steven Downe in IT)</w:t>
            </w:r>
          </w:p>
          <w:p w:rsidR="00123B36" w:rsidRDefault="00123B36" w:rsidP="00123B36">
            <w:r>
              <w:t xml:space="preserve">A separate diagram is used for the EMS. </w:t>
            </w:r>
            <w:r w:rsidRPr="00993EB2">
              <w:t>ISO 14001 Context Diagram (</w:t>
            </w:r>
            <w:r w:rsidRPr="00993EB2">
              <w:rPr>
                <w:b/>
                <w:color w:val="4F81BD" w:themeColor="accent1"/>
              </w:rPr>
              <w:t>see Sample 2</w:t>
            </w:r>
            <w:r w:rsidRPr="00993EB2">
              <w:t>) is at v1.0 dated 22</w:t>
            </w:r>
            <w:r w:rsidRPr="00993EB2">
              <w:rPr>
                <w:vertAlign w:val="superscript"/>
              </w:rPr>
              <w:t>nd</w:t>
            </w:r>
            <w:r w:rsidRPr="00993EB2">
              <w:t xml:space="preserve"> April 2017.</w:t>
            </w:r>
            <w:r>
              <w:t xml:space="preserve"> It was noted by the auditor that the EMS and ISMS Context Diagrams have the same Core Services, Support Services, and External Issues – but ISMS have R (risk) numbers, whereas EMS have A (aspects) numbers. Numbers relate to the Risk Assessment &amp; Treatment Plan, and Aspects &amp; Impacts Register.</w:t>
            </w:r>
          </w:p>
          <w:p w:rsidR="00123B36" w:rsidRDefault="00123B36" w:rsidP="00123B36">
            <w:r>
              <w:t xml:space="preserve">Environmental conditions are covered in the diagram (also linked to Aspects and Impacts Register) and include: </w:t>
            </w:r>
          </w:p>
          <w:p w:rsidR="00123B36" w:rsidRDefault="00123B36" w:rsidP="00123B36">
            <w:pPr>
              <w:pStyle w:val="ListParagraph"/>
              <w:numPr>
                <w:ilvl w:val="0"/>
                <w:numId w:val="2"/>
              </w:numPr>
              <w:spacing w:after="200" w:line="276" w:lineRule="auto"/>
            </w:pPr>
            <w:r>
              <w:t>Environmental A22</w:t>
            </w:r>
          </w:p>
          <w:p w:rsidR="00123B36" w:rsidRDefault="00123B36" w:rsidP="00123B36">
            <w:pPr>
              <w:pStyle w:val="ListParagraph"/>
              <w:numPr>
                <w:ilvl w:val="0"/>
                <w:numId w:val="2"/>
              </w:numPr>
              <w:spacing w:after="200" w:line="276" w:lineRule="auto"/>
            </w:pPr>
            <w:r>
              <w:t>Disposal of White Goods A26</w:t>
            </w:r>
          </w:p>
          <w:p w:rsidR="00123B36" w:rsidRDefault="00123B36" w:rsidP="00123B36">
            <w:pPr>
              <w:pStyle w:val="ListParagraph"/>
              <w:numPr>
                <w:ilvl w:val="0"/>
                <w:numId w:val="2"/>
              </w:numPr>
              <w:spacing w:after="200" w:line="276" w:lineRule="auto"/>
            </w:pPr>
            <w:r>
              <w:t>Neighbours A21</w:t>
            </w:r>
          </w:p>
          <w:p w:rsidR="00123B36" w:rsidRDefault="00123B36" w:rsidP="00123B36">
            <w:pPr>
              <w:pStyle w:val="ListParagraph"/>
              <w:numPr>
                <w:ilvl w:val="0"/>
                <w:numId w:val="2"/>
              </w:numPr>
              <w:spacing w:after="200" w:line="276" w:lineRule="auto"/>
            </w:pPr>
            <w:r>
              <w:t>Vehicle Maintenance A5</w:t>
            </w:r>
          </w:p>
          <w:p w:rsidR="00123B36" w:rsidRDefault="00123B36" w:rsidP="00123B36">
            <w:pPr>
              <w:pStyle w:val="ListParagraph"/>
              <w:numPr>
                <w:ilvl w:val="0"/>
                <w:numId w:val="2"/>
              </w:numPr>
            </w:pPr>
            <w:r>
              <w:t>Distribution A1</w:t>
            </w:r>
          </w:p>
          <w:p w:rsidR="00123B36" w:rsidRPr="00D22705" w:rsidRDefault="00123B36" w:rsidP="00123B36">
            <w:pPr>
              <w:rPr>
                <w:highlight w:val="yellow"/>
              </w:rPr>
            </w:pPr>
            <w:r>
              <w:rPr>
                <w:highlight w:val="yellow"/>
              </w:rPr>
              <w:t xml:space="preserve">It would be beneficial for the two diagrams to </w:t>
            </w:r>
            <w:r w:rsidRPr="00993EB2">
              <w:rPr>
                <w:highlight w:val="yellow"/>
              </w:rPr>
              <w:t>state IS</w:t>
            </w:r>
            <w:r>
              <w:rPr>
                <w:highlight w:val="yellow"/>
              </w:rPr>
              <w:t>MS and EMS</w:t>
            </w:r>
            <w:r w:rsidRPr="00993EB2">
              <w:rPr>
                <w:highlight w:val="yellow"/>
              </w:rPr>
              <w:t xml:space="preserve"> to differentiate the</w:t>
            </w:r>
            <w:r w:rsidRPr="00D22705">
              <w:rPr>
                <w:highlight w:val="yellow"/>
              </w:rPr>
              <w:t xml:space="preserve">m. </w:t>
            </w:r>
          </w:p>
          <w:p w:rsidR="00123B36" w:rsidRDefault="00123B36" w:rsidP="00123B36">
            <w:r w:rsidRPr="00D22705">
              <w:rPr>
                <w:highlight w:val="yellow"/>
              </w:rPr>
              <w:t>It was also noted that the company may wish to further differentiate the diagrams by making them different for ISMS and EMS. For example: Financial Services and Legal Services may not have any impact on the environment.</w:t>
            </w:r>
          </w:p>
          <w:p w:rsidR="00123B36" w:rsidRDefault="00123B36" w:rsidP="00123B36">
            <w:r>
              <w:t xml:space="preserve">The interested parties associated with the ISMS and EMS </w:t>
            </w:r>
            <w:proofErr w:type="gramStart"/>
            <w:r>
              <w:t>are</w:t>
            </w:r>
            <w:proofErr w:type="gramEnd"/>
            <w:r>
              <w:t xml:space="preserve"> detailed within the Context Diagram (see notes above). The interested parties are linked to the Risk Assessment &amp; Treatment Plan and Aspects &amp; Impacts Register, through the R and A numbers. The Plan and Register contain information regarding the needs and expectations of the identified interested party. The following were sampled from the ISMS:</w:t>
            </w:r>
          </w:p>
          <w:p w:rsidR="00123B36" w:rsidRDefault="00123B36" w:rsidP="00123B36">
            <w:pPr>
              <w:pStyle w:val="ListParagraph"/>
              <w:numPr>
                <w:ilvl w:val="0"/>
                <w:numId w:val="2"/>
              </w:numPr>
              <w:spacing w:after="0" w:line="240" w:lineRule="auto"/>
            </w:pPr>
            <w:r>
              <w:t>Landlord/Owners – R13 – communication and understanding of ISMS policy and controls which affect their processes including changes to records</w:t>
            </w:r>
          </w:p>
          <w:p w:rsidR="00123B36" w:rsidRDefault="00123B36" w:rsidP="00123B36">
            <w:pPr>
              <w:pStyle w:val="ListParagraph"/>
              <w:numPr>
                <w:ilvl w:val="0"/>
                <w:numId w:val="2"/>
              </w:numPr>
              <w:spacing w:after="0" w:line="240" w:lineRule="auto"/>
            </w:pPr>
            <w:r>
              <w:t>IT providers – R15 - communication and understanding of ISMS policy and controls which affect their processes including changes to records</w:t>
            </w:r>
          </w:p>
          <w:p w:rsidR="00123B36" w:rsidRDefault="00123B36" w:rsidP="00123B36">
            <w:pPr>
              <w:pStyle w:val="ListParagraph"/>
              <w:numPr>
                <w:ilvl w:val="0"/>
                <w:numId w:val="2"/>
              </w:numPr>
              <w:spacing w:after="0" w:line="240" w:lineRule="auto"/>
            </w:pPr>
            <w:r w:rsidRPr="00FA2447">
              <w:rPr>
                <w:highlight w:val="yellow"/>
              </w:rPr>
              <w:t>Legal Services – R24 – no needs and expectations documented in the RA&amp;TP – H&amp;B advocate (shared) – there is a grey box here and needs to include why this is not applicable. AP updated R24 for this. Consider updating the others where there is an interested party.</w:t>
            </w:r>
          </w:p>
          <w:p w:rsidR="00123B36" w:rsidRDefault="00123B36" w:rsidP="00123B36"/>
          <w:p w:rsidR="00123B36" w:rsidRDefault="00123B36" w:rsidP="00123B36">
            <w:r>
              <w:t>The following were sampled from the EMS:</w:t>
            </w:r>
          </w:p>
          <w:p w:rsidR="00123B36" w:rsidRDefault="00123B36" w:rsidP="00123B36">
            <w:pPr>
              <w:pStyle w:val="ListParagraph"/>
              <w:numPr>
                <w:ilvl w:val="0"/>
                <w:numId w:val="2"/>
              </w:numPr>
              <w:spacing w:after="0" w:line="240" w:lineRule="auto"/>
            </w:pPr>
            <w:r>
              <w:t>Human Resources – Communication and understanding of EMS controls</w:t>
            </w:r>
          </w:p>
          <w:p w:rsidR="00123B36" w:rsidRDefault="00123B36" w:rsidP="00123B36">
            <w:pPr>
              <w:pStyle w:val="ListParagraph"/>
              <w:numPr>
                <w:ilvl w:val="0"/>
                <w:numId w:val="2"/>
              </w:numPr>
              <w:spacing w:after="0" w:line="240" w:lineRule="auto"/>
            </w:pPr>
            <w:r>
              <w:t>Utilities – access to premises, clear PO instructions (oil), communication regarding failures</w:t>
            </w:r>
          </w:p>
          <w:p w:rsidR="00123B36" w:rsidRDefault="00123B36" w:rsidP="00123B36">
            <w:pPr>
              <w:pStyle w:val="ListParagraph"/>
              <w:numPr>
                <w:ilvl w:val="0"/>
                <w:numId w:val="2"/>
              </w:numPr>
              <w:spacing w:after="0" w:line="240" w:lineRule="auto"/>
            </w:pPr>
            <w:r>
              <w:t>IOM Government – business needs to understand and apply legal requirement</w:t>
            </w:r>
          </w:p>
          <w:p w:rsidR="00123B36" w:rsidRDefault="00123B36" w:rsidP="00123B36">
            <w:r>
              <w:rPr>
                <w:highlight w:val="yellow"/>
              </w:rPr>
              <w:t>The auditor noted that although the company had determined the needs and expectations of the interested parties, they need to make them</w:t>
            </w:r>
            <w:r w:rsidRPr="00D22705">
              <w:rPr>
                <w:highlight w:val="yellow"/>
              </w:rPr>
              <w:t xml:space="preserve"> more specific for the di</w:t>
            </w:r>
            <w:r>
              <w:rPr>
                <w:highlight w:val="yellow"/>
              </w:rPr>
              <w:t>fferent interested parties. For example: Shipping -</w:t>
            </w:r>
            <w:r w:rsidRPr="00D22705">
              <w:rPr>
                <w:highlight w:val="yellow"/>
              </w:rPr>
              <w:t xml:space="preserve"> inform</w:t>
            </w:r>
            <w:r>
              <w:rPr>
                <w:highlight w:val="yellow"/>
              </w:rPr>
              <w:t xml:space="preserve"> of hazardous goods for</w:t>
            </w:r>
            <w:r w:rsidRPr="00D22705">
              <w:rPr>
                <w:highlight w:val="yellow"/>
              </w:rPr>
              <w:t>. Shipping had the general “Communication regarding EMS” in the needs and expectations.</w:t>
            </w:r>
          </w:p>
          <w:p w:rsidR="00123B36" w:rsidRDefault="00123B36" w:rsidP="00123B36"/>
          <w:p w:rsidR="00123B36" w:rsidRDefault="00123B36" w:rsidP="00123B36">
            <w:r>
              <w:t xml:space="preserve">The compliance obligations related to each interested party is determined in the Plan and Register by numbers, which relate to the Legislative and Statutory Requirements Register. It was noted that this register is currently at draft and does not have a version number. The legal requirements are broken down into where they are relevant (QMS, EMS, </w:t>
            </w:r>
            <w:proofErr w:type="gramStart"/>
            <w:r>
              <w:t>ISMS</w:t>
            </w:r>
            <w:proofErr w:type="gramEnd"/>
            <w:r>
              <w:t>). The register included the following, regarding the EMS:</w:t>
            </w:r>
          </w:p>
          <w:p w:rsidR="00123B36" w:rsidRDefault="00123B36" w:rsidP="00123B36">
            <w:pPr>
              <w:pStyle w:val="ListParagraph"/>
              <w:numPr>
                <w:ilvl w:val="0"/>
                <w:numId w:val="3"/>
              </w:numPr>
            </w:pPr>
            <w:r>
              <w:t>LR22 = Fire Precautions Act</w:t>
            </w:r>
          </w:p>
          <w:p w:rsidR="00123B36" w:rsidRDefault="00123B36" w:rsidP="00123B36">
            <w:pPr>
              <w:pStyle w:val="ListParagraph"/>
              <w:numPr>
                <w:ilvl w:val="0"/>
                <w:numId w:val="3"/>
              </w:numPr>
            </w:pPr>
            <w:r>
              <w:t>LR23 = Amends to above</w:t>
            </w:r>
          </w:p>
          <w:p w:rsidR="00123B36" w:rsidRDefault="00123B36" w:rsidP="00123B36">
            <w:pPr>
              <w:pStyle w:val="ListParagraph"/>
              <w:numPr>
                <w:ilvl w:val="0"/>
                <w:numId w:val="3"/>
              </w:numPr>
            </w:pPr>
            <w:r>
              <w:t>LR31 = Public Health Act</w:t>
            </w:r>
          </w:p>
          <w:p w:rsidR="00123B36" w:rsidRDefault="00123B36" w:rsidP="00123B36">
            <w:pPr>
              <w:pStyle w:val="ListParagraph"/>
              <w:numPr>
                <w:ilvl w:val="0"/>
                <w:numId w:val="3"/>
              </w:numPr>
            </w:pPr>
            <w:r>
              <w:t>LR35 = Control of Noise at Work Regulations</w:t>
            </w:r>
          </w:p>
          <w:p w:rsidR="00123B36" w:rsidRDefault="00123B36" w:rsidP="00123B36">
            <w:pPr>
              <w:pStyle w:val="ListParagraph"/>
              <w:numPr>
                <w:ilvl w:val="0"/>
                <w:numId w:val="3"/>
              </w:numPr>
            </w:pPr>
            <w:r>
              <w:t>LR36 = COSHH Regulations</w:t>
            </w:r>
          </w:p>
          <w:p w:rsidR="00123B36" w:rsidRDefault="00123B36" w:rsidP="00123B36">
            <w:r>
              <w:t>One of the aspects was sampled from the Register, to ensure that the correct compliance obligations had been associated with it:</w:t>
            </w:r>
          </w:p>
          <w:p w:rsidR="00123B36" w:rsidRDefault="00123B36" w:rsidP="00123B36">
            <w:pPr>
              <w:pStyle w:val="ListParagraph"/>
              <w:numPr>
                <w:ilvl w:val="0"/>
                <w:numId w:val="3"/>
              </w:numPr>
            </w:pPr>
            <w:r>
              <w:t>Distribution – Legal requirements = 31 (Human Rights Act) and 35 (Supply of Goods and Services Act)</w:t>
            </w:r>
          </w:p>
          <w:p w:rsidR="00123B36" w:rsidRDefault="00123B36" w:rsidP="00123B36">
            <w:r>
              <w:t xml:space="preserve">The boundaries and applicability of the systems is determined </w:t>
            </w:r>
            <w:r w:rsidRPr="008E2FEC">
              <w:t>in</w:t>
            </w:r>
            <w:r>
              <w:t xml:space="preserve"> the</w:t>
            </w:r>
            <w:r w:rsidRPr="008E2FEC">
              <w:t xml:space="preserve"> Context Diagram</w:t>
            </w:r>
            <w:r>
              <w:t>s.</w:t>
            </w:r>
          </w:p>
          <w:p w:rsidR="00123B36" w:rsidRDefault="00123B36" w:rsidP="00123B36">
            <w:r>
              <w:t xml:space="preserve">The ISMS scope defined within the ISMS Policies and Controls (Issue 1 – 1/9/17) as “storage and distribution of goods to consumer, commercial and public authorities in IOM”. </w:t>
            </w:r>
            <w:r w:rsidRPr="002360C3">
              <w:rPr>
                <w:highlight w:val="yellow"/>
              </w:rPr>
              <w:t>It would be beneficial to include the scope in the Information Security Policy.</w:t>
            </w:r>
          </w:p>
          <w:p w:rsidR="00123B36" w:rsidRDefault="00123B36" w:rsidP="00123B36">
            <w:r>
              <w:t>The EMS Scope is detailed in the Environmental Policy as “distribution and handling of materials”.</w:t>
            </w:r>
          </w:p>
          <w:p w:rsidR="00123B36" w:rsidRDefault="00123B36" w:rsidP="00123B36">
            <w:r>
              <w:t>The following documents are retained within the relevant ISO folders, detailing the system’s implementation:</w:t>
            </w:r>
          </w:p>
          <w:p w:rsidR="00123B36" w:rsidRDefault="00123B36" w:rsidP="00123B36">
            <w:pPr>
              <w:pStyle w:val="ListParagraph"/>
              <w:numPr>
                <w:ilvl w:val="0"/>
                <w:numId w:val="3"/>
              </w:numPr>
            </w:pPr>
            <w:r>
              <w:t>ISMS Policies and Controls (Issue 1 – Classification: Restricted)</w:t>
            </w:r>
          </w:p>
          <w:p w:rsidR="00123B36" w:rsidRDefault="00123B36" w:rsidP="00123B36">
            <w:pPr>
              <w:pStyle w:val="ListParagraph"/>
              <w:numPr>
                <w:ilvl w:val="0"/>
                <w:numId w:val="3"/>
              </w:numPr>
              <w:spacing w:after="0"/>
            </w:pPr>
            <w:r>
              <w:t>EMS02 Documented System (Version: V1.0 – Date: 1</w:t>
            </w:r>
            <w:r w:rsidRPr="003436EB">
              <w:rPr>
                <w:vertAlign w:val="superscript"/>
              </w:rPr>
              <w:t>st</w:t>
            </w:r>
            <w:r>
              <w:t xml:space="preserve"> September 2017)</w:t>
            </w:r>
          </w:p>
          <w:p w:rsidR="00123B36" w:rsidRDefault="00123B36" w:rsidP="00123B36">
            <w:r>
              <w:t>The documents determine each clause number of the ISO standards and the controls implemented to address the clauses.</w:t>
            </w:r>
          </w:p>
          <w:p w:rsidR="006E0C65" w:rsidRDefault="006E0C65" w:rsidP="006E0C65"/>
          <w:p w:rsidR="00D137B6" w:rsidRDefault="00D137B6" w:rsidP="006E0C65"/>
          <w:p w:rsidR="00D137B6" w:rsidRDefault="00D137B6" w:rsidP="006E0C65"/>
          <w:p w:rsidR="00D137B6" w:rsidRDefault="00D137B6" w:rsidP="006E0C65"/>
          <w:p w:rsidR="004A2F4C" w:rsidRPr="006E0C65" w:rsidRDefault="004A2F4C" w:rsidP="006E0C65"/>
          <w:p w:rsidR="006E0C65" w:rsidRPr="006E0C65" w:rsidRDefault="006E0C65" w:rsidP="006E0C65">
            <w:pPr>
              <w:rPr>
                <w:b/>
              </w:rPr>
            </w:pPr>
            <w:r>
              <w:rPr>
                <w:b/>
              </w:rPr>
              <w:t xml:space="preserve">Signed (auditor)              </w:t>
            </w:r>
            <w:r w:rsidR="0022263A">
              <w:rPr>
                <w:b/>
              </w:rPr>
              <w:t>G Burnell</w:t>
            </w:r>
            <w:r>
              <w:rPr>
                <w:b/>
              </w:rPr>
              <w:t xml:space="preserve">                                                                                             Date</w:t>
            </w:r>
            <w:r w:rsidR="0022263A">
              <w:rPr>
                <w:b/>
              </w:rPr>
              <w:t xml:space="preserve"> 9/10/17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190753">
        <w:tc>
          <w:tcPr>
            <w:tcW w:w="2486" w:type="dxa"/>
            <w:shd w:val="clear" w:color="auto" w:fill="00B050"/>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shd w:val="clear" w:color="auto" w:fill="FFFF00"/>
          </w:tcPr>
          <w:p w:rsidR="006E0C65" w:rsidRDefault="006E0C65" w:rsidP="00D35723">
            <w:pPr>
              <w:tabs>
                <w:tab w:val="center" w:pos="4513"/>
                <w:tab w:val="left" w:pos="5626"/>
              </w:tabs>
              <w:rPr>
                <w:b/>
              </w:rPr>
            </w:pPr>
            <w:r>
              <w:rPr>
                <w:b/>
              </w:rPr>
              <w:t>O F I</w:t>
            </w:r>
            <w:r w:rsidR="00CD2D55">
              <w:rPr>
                <w:b/>
              </w:rPr>
              <w:t xml:space="preserve">     4</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CD2D55" w:rsidRDefault="00CD2D55" w:rsidP="00D35723">
            <w:pPr>
              <w:tabs>
                <w:tab w:val="center" w:pos="4513"/>
                <w:tab w:val="left" w:pos="5626"/>
              </w:tabs>
              <w:rPr>
                <w:b/>
                <w:color w:val="FF0000"/>
              </w:rPr>
            </w:pPr>
            <w:r w:rsidRPr="00BF108E">
              <w:rPr>
                <w:b/>
                <w:color w:val="FF0000"/>
              </w:rPr>
              <w:t>It was noted that the company is</w:t>
            </w:r>
            <w:r w:rsidRPr="00BF108E">
              <w:rPr>
                <w:color w:val="FF0000"/>
              </w:rPr>
              <w:t xml:space="preserve"> </w:t>
            </w:r>
            <w:r>
              <w:rPr>
                <w:b/>
                <w:color w:val="FF0000"/>
              </w:rPr>
              <w:t>l</w:t>
            </w:r>
            <w:r w:rsidRPr="00F6300A">
              <w:rPr>
                <w:b/>
                <w:color w:val="FF0000"/>
              </w:rPr>
              <w:t xml:space="preserve">ooking to move to SharePoint prior to Stage 2, so </w:t>
            </w:r>
            <w:r>
              <w:rPr>
                <w:b/>
                <w:color w:val="FF0000"/>
              </w:rPr>
              <w:t xml:space="preserve">that </w:t>
            </w:r>
            <w:r w:rsidRPr="00F6300A">
              <w:rPr>
                <w:b/>
                <w:color w:val="FF0000"/>
              </w:rPr>
              <w:t>items can be</w:t>
            </w:r>
            <w:r>
              <w:rPr>
                <w:b/>
                <w:color w:val="FF0000"/>
              </w:rPr>
              <w:t xml:space="preserve"> shared</w:t>
            </w:r>
            <w:r w:rsidRPr="00F6300A">
              <w:rPr>
                <w:b/>
                <w:color w:val="FF0000"/>
              </w:rPr>
              <w:t xml:space="preserve"> </w:t>
            </w:r>
            <w:r>
              <w:rPr>
                <w:b/>
                <w:color w:val="FF0000"/>
              </w:rPr>
              <w:t xml:space="preserve">as </w:t>
            </w:r>
            <w:r w:rsidRPr="00F6300A">
              <w:rPr>
                <w:b/>
                <w:color w:val="FF0000"/>
              </w:rPr>
              <w:t>PDF</w:t>
            </w:r>
            <w:r>
              <w:rPr>
                <w:b/>
                <w:color w:val="FF0000"/>
              </w:rPr>
              <w:t>’s, to avoid unauthorised amendments</w:t>
            </w:r>
            <w:r w:rsidRPr="00F6300A">
              <w:rPr>
                <w:b/>
                <w:color w:val="FF0000"/>
              </w:rPr>
              <w:t>.</w:t>
            </w:r>
          </w:p>
          <w:p w:rsidR="00CD2D55" w:rsidRDefault="00CD2D55" w:rsidP="00D35723">
            <w:pPr>
              <w:tabs>
                <w:tab w:val="center" w:pos="4513"/>
                <w:tab w:val="left" w:pos="5626"/>
              </w:tabs>
              <w:rPr>
                <w:b/>
                <w:color w:val="FF0000"/>
              </w:rPr>
            </w:pPr>
          </w:p>
          <w:p w:rsidR="00CD2D55" w:rsidRPr="00D22705" w:rsidRDefault="00CD2D55" w:rsidP="00CD2D55">
            <w:pPr>
              <w:rPr>
                <w:highlight w:val="yellow"/>
              </w:rPr>
            </w:pPr>
            <w:r>
              <w:rPr>
                <w:highlight w:val="yellow"/>
              </w:rPr>
              <w:t xml:space="preserve">It would be beneficial for the two diagrams to </w:t>
            </w:r>
            <w:r w:rsidRPr="00993EB2">
              <w:rPr>
                <w:highlight w:val="yellow"/>
              </w:rPr>
              <w:t>state IS</w:t>
            </w:r>
            <w:r>
              <w:rPr>
                <w:highlight w:val="yellow"/>
              </w:rPr>
              <w:t>MS and EMS</w:t>
            </w:r>
            <w:r w:rsidRPr="00993EB2">
              <w:rPr>
                <w:highlight w:val="yellow"/>
              </w:rPr>
              <w:t xml:space="preserve"> to differentiate the</w:t>
            </w:r>
            <w:r w:rsidRPr="00D22705">
              <w:rPr>
                <w:highlight w:val="yellow"/>
              </w:rPr>
              <w:t xml:space="preserve">m. </w:t>
            </w:r>
          </w:p>
          <w:p w:rsidR="00CD2D55" w:rsidRDefault="00CD2D55" w:rsidP="00CD2D55">
            <w:r w:rsidRPr="00D22705">
              <w:rPr>
                <w:highlight w:val="yellow"/>
              </w:rPr>
              <w:t>It was also noted that the company may wish to further differentiate the diagrams by making them different for ISMS and EMS. For example: Financial Services and Legal Services may not have any impact on the environment.</w:t>
            </w:r>
          </w:p>
          <w:p w:rsidR="00CD2D55" w:rsidRDefault="00CD2D55" w:rsidP="00CD2D55"/>
          <w:p w:rsidR="00CD2D55" w:rsidRDefault="00CD2D55" w:rsidP="00CD2D55">
            <w:r w:rsidRPr="00FA2447">
              <w:rPr>
                <w:highlight w:val="yellow"/>
              </w:rPr>
              <w:t>Legal Services – R24 – no needs and expectations documented in the RA&amp;TP – H&amp;B advocate (shared) – there is a grey box here and needs to include why this is not applicable. AP updated R24 for this. Consider updating the others where there is an interested party.</w:t>
            </w:r>
          </w:p>
          <w:p w:rsidR="00CD2D55" w:rsidRDefault="00CD2D55" w:rsidP="00CD2D55"/>
          <w:p w:rsidR="00CD2D55" w:rsidRDefault="00CD2D55" w:rsidP="00CD2D55">
            <w:r>
              <w:rPr>
                <w:highlight w:val="yellow"/>
              </w:rPr>
              <w:t>The auditor noted that although the company had determined the needs and expectations of the interested parties, they need to make them</w:t>
            </w:r>
            <w:r w:rsidRPr="00D22705">
              <w:rPr>
                <w:highlight w:val="yellow"/>
              </w:rPr>
              <w:t xml:space="preserve"> more specific for the di</w:t>
            </w:r>
            <w:r>
              <w:rPr>
                <w:highlight w:val="yellow"/>
              </w:rPr>
              <w:t>fferent interested parties. For example: Shipping -</w:t>
            </w:r>
            <w:r w:rsidRPr="00D22705">
              <w:rPr>
                <w:highlight w:val="yellow"/>
              </w:rPr>
              <w:t xml:space="preserve"> inform</w:t>
            </w:r>
            <w:r>
              <w:rPr>
                <w:highlight w:val="yellow"/>
              </w:rPr>
              <w:t xml:space="preserve"> of hazardous goods for</w:t>
            </w:r>
            <w:r w:rsidRPr="00D22705">
              <w:rPr>
                <w:highlight w:val="yellow"/>
              </w:rPr>
              <w:t>. Shipping had the general “Communication regarding EMS” in the needs and expectations.</w:t>
            </w:r>
          </w:p>
          <w:p w:rsidR="00CD2D55" w:rsidRDefault="00CD2D55" w:rsidP="00CD2D55"/>
          <w:p w:rsidR="00CD2D55" w:rsidRDefault="00CD2D55" w:rsidP="00CD2D55">
            <w:r w:rsidRPr="002360C3">
              <w:rPr>
                <w:highlight w:val="yellow"/>
              </w:rPr>
              <w:t>It would be beneficial to include the scope in the Information Security Policy.</w:t>
            </w:r>
          </w:p>
          <w:p w:rsidR="00CD2D55" w:rsidRDefault="00CD2D55" w:rsidP="00CD2D55"/>
          <w:p w:rsidR="00CD2D55" w:rsidRDefault="00CD2D5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22263A" w:rsidRDefault="0022263A" w:rsidP="00D35723">
            <w:pPr>
              <w:tabs>
                <w:tab w:val="center" w:pos="4513"/>
                <w:tab w:val="left" w:pos="5626"/>
              </w:tabs>
              <w:rPr>
                <w:b/>
              </w:rPr>
            </w:pPr>
            <w:r>
              <w:rPr>
                <w:b/>
              </w:rPr>
              <w:t>Signed (auditor)              G Burnell                                                                                             Date 9/10/17</w:t>
            </w:r>
          </w:p>
          <w:p w:rsidR="006E0C65" w:rsidRPr="006E0C65" w:rsidRDefault="006E0C65" w:rsidP="00D35723">
            <w:pPr>
              <w:tabs>
                <w:tab w:val="center" w:pos="4513"/>
                <w:tab w:val="left" w:pos="5626"/>
              </w:tabs>
              <w:rPr>
                <w:b/>
              </w:rPr>
            </w:pPr>
            <w:r>
              <w:rPr>
                <w:b/>
              </w:rPr>
              <w:t>Signed (auditee)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190753">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90753">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90753">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6E7DDE" w:rsidRDefault="006E7DDE" w:rsidP="00D35723">
            <w:pPr>
              <w:tabs>
                <w:tab w:val="center" w:pos="4513"/>
                <w:tab w:val="left" w:pos="5626"/>
              </w:tabs>
            </w:pPr>
            <w:proofErr w:type="spellStart"/>
            <w:r w:rsidRPr="006E7DDE">
              <w:t>Sharepoint</w:t>
            </w:r>
            <w:proofErr w:type="spellEnd"/>
            <w:r w:rsidRPr="006E7DDE">
              <w:t xml:space="preserve"> implementation is planned to be completed by the end of January 2018.</w:t>
            </w:r>
          </w:p>
          <w:p w:rsidR="006E7DDE" w:rsidRDefault="006E7DDE" w:rsidP="00D35723">
            <w:pPr>
              <w:tabs>
                <w:tab w:val="center" w:pos="4513"/>
                <w:tab w:val="left" w:pos="5626"/>
              </w:tabs>
            </w:pPr>
          </w:p>
          <w:p w:rsidR="006E7DDE" w:rsidRDefault="006E7DDE" w:rsidP="00D35723">
            <w:pPr>
              <w:tabs>
                <w:tab w:val="center" w:pos="4513"/>
                <w:tab w:val="left" w:pos="5626"/>
              </w:tabs>
            </w:pPr>
            <w:r>
              <w:t>The two Context diagrams have been updated with headings to differentiate them.  It has also been noted at the bottom of each of the diagrams (within the footer) that they are to be reviewed with the Aspects and Impacts register (14001) and the Risk Assessment and Treatment Plan (27001).  For each Context diagram, the core services, support services and interested parties have been reviewed, and if there is no impact for a particular identified party, this is noted in the related document.</w:t>
            </w:r>
          </w:p>
          <w:p w:rsidR="005E4612" w:rsidRDefault="005E4612" w:rsidP="00D35723">
            <w:pPr>
              <w:tabs>
                <w:tab w:val="center" w:pos="4513"/>
                <w:tab w:val="left" w:pos="5626"/>
              </w:tabs>
            </w:pPr>
          </w:p>
          <w:p w:rsidR="005E4612" w:rsidRDefault="005E4612" w:rsidP="00D35723">
            <w:pPr>
              <w:tabs>
                <w:tab w:val="center" w:pos="4513"/>
                <w:tab w:val="left" w:pos="5626"/>
              </w:tabs>
            </w:pPr>
            <w:r>
              <w:t>RA&amp;TP has been updated to include needs and expectations for Legal and Financial Services (R24 and R25).  Further updates have been included to cover specific requirem</w:t>
            </w:r>
            <w:r w:rsidR="000E11A4">
              <w:t>ents for interested parties</w:t>
            </w:r>
            <w:proofErr w:type="gramStart"/>
            <w:r w:rsidR="000E11A4">
              <w:t>,  and</w:t>
            </w:r>
            <w:proofErr w:type="gramEnd"/>
            <w:r w:rsidR="000E11A4">
              <w:t xml:space="preserve"> controls for authorities.</w:t>
            </w:r>
          </w:p>
          <w:p w:rsidR="005E4612" w:rsidRDefault="005E4612" w:rsidP="00D35723">
            <w:pPr>
              <w:tabs>
                <w:tab w:val="center" w:pos="4513"/>
                <w:tab w:val="left" w:pos="5626"/>
              </w:tabs>
            </w:pPr>
          </w:p>
          <w:p w:rsidR="000E11A4" w:rsidRDefault="000E11A4" w:rsidP="00D35723">
            <w:pPr>
              <w:tabs>
                <w:tab w:val="center" w:pos="4513"/>
                <w:tab w:val="left" w:pos="5626"/>
              </w:tabs>
            </w:pPr>
            <w:r>
              <w:t>The EMS Risk Assessment Register</w:t>
            </w:r>
            <w:r w:rsidR="00C95E34">
              <w:t xml:space="preserve"> is being reviewed and the needs and expectations of the interested parties are being reviewed to be made more specific to the parties concerned.</w:t>
            </w:r>
          </w:p>
          <w:p w:rsidR="006E7DDE" w:rsidRDefault="006E7DDE" w:rsidP="006E7DDE"/>
          <w:p w:rsidR="004D5632" w:rsidRDefault="004D5632" w:rsidP="006E7DDE">
            <w:r>
              <w:t>Information Security Policy document has been updated ready for review at the Management Review Meeting to include the scope and also measurements as recommended under separate audit.</w:t>
            </w:r>
          </w:p>
          <w:p w:rsidR="006E7DDE" w:rsidRDefault="006E7DDE" w:rsidP="006E7DDE"/>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C95E34">
            <w:pPr>
              <w:tabs>
                <w:tab w:val="center" w:pos="4513"/>
                <w:tab w:val="left" w:pos="5626"/>
              </w:tabs>
              <w:rPr>
                <w:b/>
              </w:rPr>
            </w:pPr>
            <w:r>
              <w:rPr>
                <w:b/>
              </w:rPr>
              <w:t>Signed (process owner</w:t>
            </w:r>
            <w:r w:rsidRPr="00C95E34">
              <w:rPr>
                <w:b/>
                <w:color w:val="17365D" w:themeColor="text2" w:themeShade="BF"/>
              </w:rPr>
              <w:t xml:space="preserve">)         </w:t>
            </w:r>
            <w:r w:rsidR="00C95E34" w:rsidRPr="00C95E34">
              <w:rPr>
                <w:b/>
                <w:color w:val="17365D" w:themeColor="text2" w:themeShade="BF"/>
              </w:rPr>
              <w:t xml:space="preserve">  A. Pickett </w:t>
            </w:r>
            <w:r w:rsidRPr="00C95E34">
              <w:rPr>
                <w:b/>
                <w:color w:val="17365D" w:themeColor="text2" w:themeShade="BF"/>
              </w:rPr>
              <w:t xml:space="preserve">                                                                </w:t>
            </w:r>
            <w:r>
              <w:rPr>
                <w:b/>
              </w:rPr>
              <w:t>Date</w:t>
            </w:r>
            <w:r w:rsidR="00C95E34">
              <w:rPr>
                <w:b/>
              </w:rPr>
              <w:t xml:space="preserve"> </w:t>
            </w:r>
            <w:r w:rsidR="00C95E34" w:rsidRPr="00C95E34">
              <w:rPr>
                <w:b/>
                <w:color w:val="17365D" w:themeColor="text2" w:themeShade="BF"/>
              </w:rPr>
              <w:t>6/11/17</w:t>
            </w:r>
          </w:p>
        </w:tc>
      </w:tr>
    </w:tbl>
    <w:p w:rsidR="006E0C65" w:rsidRPr="0034506C" w:rsidRDefault="006E0C65" w:rsidP="00D35723">
      <w:pPr>
        <w:tabs>
          <w:tab w:val="center" w:pos="4513"/>
          <w:tab w:val="left" w:pos="5626"/>
        </w:tabs>
        <w:spacing w:after="0"/>
        <w:rPr>
          <w:b/>
        </w:rPr>
      </w:pPr>
      <w:bookmarkStart w:id="0" w:name="_GoBack"/>
      <w:bookmarkEnd w:id="0"/>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CD2D55" w:rsidRDefault="00CD2D55"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62468F" w:rsidRPr="00D05F54">
                <w:rPr>
                  <w:b/>
                  <w:sz w:val="24"/>
                </w:rPr>
                <w:fldChar w:fldCharType="begin"/>
              </w:r>
              <w:r w:rsidRPr="00D05F54">
                <w:rPr>
                  <w:b/>
                  <w:sz w:val="24"/>
                </w:rPr>
                <w:instrText xml:space="preserve"> PAGE </w:instrText>
              </w:r>
              <w:r w:rsidR="0062468F" w:rsidRPr="00D05F54">
                <w:rPr>
                  <w:b/>
                  <w:sz w:val="24"/>
                </w:rPr>
                <w:fldChar w:fldCharType="separate"/>
              </w:r>
              <w:r w:rsidR="00C95E34">
                <w:rPr>
                  <w:b/>
                  <w:noProof/>
                  <w:sz w:val="24"/>
                </w:rPr>
                <w:t>6</w:t>
              </w:r>
              <w:r w:rsidR="0062468F" w:rsidRPr="00D05F54">
                <w:rPr>
                  <w:b/>
                  <w:sz w:val="24"/>
                </w:rPr>
                <w:fldChar w:fldCharType="end"/>
              </w:r>
              <w:r w:rsidRPr="00D05F54">
                <w:rPr>
                  <w:b/>
                  <w:sz w:val="24"/>
                </w:rPr>
                <w:t xml:space="preserve"> of </w:t>
              </w:r>
              <w:r w:rsidR="0062468F" w:rsidRPr="00D05F54">
                <w:rPr>
                  <w:b/>
                  <w:sz w:val="24"/>
                </w:rPr>
                <w:fldChar w:fldCharType="begin"/>
              </w:r>
              <w:r w:rsidRPr="00D05F54">
                <w:rPr>
                  <w:b/>
                  <w:sz w:val="24"/>
                </w:rPr>
                <w:instrText xml:space="preserve"> NUMPAGES  </w:instrText>
              </w:r>
              <w:r w:rsidR="0062468F" w:rsidRPr="00D05F54">
                <w:rPr>
                  <w:b/>
                  <w:sz w:val="24"/>
                </w:rPr>
                <w:fldChar w:fldCharType="separate"/>
              </w:r>
              <w:r w:rsidR="00C95E34">
                <w:rPr>
                  <w:b/>
                  <w:noProof/>
                  <w:sz w:val="24"/>
                </w:rPr>
                <w:t>6</w:t>
              </w:r>
              <w:r w:rsidR="0062468F"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53846"/>
    <w:multiLevelType w:val="hybridMultilevel"/>
    <w:tmpl w:val="7AD47CB4"/>
    <w:lvl w:ilvl="0" w:tplc="9196A68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785AB4"/>
    <w:multiLevelType w:val="hybridMultilevel"/>
    <w:tmpl w:val="E27A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7649C"/>
    <w:rsid w:val="00082A5A"/>
    <w:rsid w:val="000B6537"/>
    <w:rsid w:val="000E11A4"/>
    <w:rsid w:val="000F1ED6"/>
    <w:rsid w:val="001207D8"/>
    <w:rsid w:val="00123B36"/>
    <w:rsid w:val="001529ED"/>
    <w:rsid w:val="00170B80"/>
    <w:rsid w:val="00190753"/>
    <w:rsid w:val="001A14D6"/>
    <w:rsid w:val="001C3DD9"/>
    <w:rsid w:val="0022263A"/>
    <w:rsid w:val="00223263"/>
    <w:rsid w:val="002718E8"/>
    <w:rsid w:val="002747DE"/>
    <w:rsid w:val="0028684E"/>
    <w:rsid w:val="002C6843"/>
    <w:rsid w:val="002E784E"/>
    <w:rsid w:val="00306DBF"/>
    <w:rsid w:val="0034506C"/>
    <w:rsid w:val="003913D3"/>
    <w:rsid w:val="003923AB"/>
    <w:rsid w:val="003B2DB6"/>
    <w:rsid w:val="003D6B7A"/>
    <w:rsid w:val="00405813"/>
    <w:rsid w:val="00436D98"/>
    <w:rsid w:val="004403B8"/>
    <w:rsid w:val="004459FB"/>
    <w:rsid w:val="004769FF"/>
    <w:rsid w:val="004A0F70"/>
    <w:rsid w:val="004A2F4C"/>
    <w:rsid w:val="004D5556"/>
    <w:rsid w:val="004D5632"/>
    <w:rsid w:val="00516955"/>
    <w:rsid w:val="005C4C8A"/>
    <w:rsid w:val="005D700E"/>
    <w:rsid w:val="005E4612"/>
    <w:rsid w:val="006145AB"/>
    <w:rsid w:val="0062468F"/>
    <w:rsid w:val="006307C9"/>
    <w:rsid w:val="00633FC8"/>
    <w:rsid w:val="00666281"/>
    <w:rsid w:val="006D437E"/>
    <w:rsid w:val="006E0C65"/>
    <w:rsid w:val="006E7DDE"/>
    <w:rsid w:val="006F6A8D"/>
    <w:rsid w:val="00700223"/>
    <w:rsid w:val="007E39FC"/>
    <w:rsid w:val="00850B1B"/>
    <w:rsid w:val="008C6243"/>
    <w:rsid w:val="008F5786"/>
    <w:rsid w:val="00933D4B"/>
    <w:rsid w:val="009A08C2"/>
    <w:rsid w:val="009B4D19"/>
    <w:rsid w:val="009B7F65"/>
    <w:rsid w:val="009E41BC"/>
    <w:rsid w:val="009F4C40"/>
    <w:rsid w:val="00A904D8"/>
    <w:rsid w:val="00A93292"/>
    <w:rsid w:val="00AA3ECB"/>
    <w:rsid w:val="00AC6799"/>
    <w:rsid w:val="00AE4DB8"/>
    <w:rsid w:val="00B11078"/>
    <w:rsid w:val="00B251A4"/>
    <w:rsid w:val="00B26696"/>
    <w:rsid w:val="00BA5C5C"/>
    <w:rsid w:val="00BD7BD9"/>
    <w:rsid w:val="00BF30AF"/>
    <w:rsid w:val="00C116ED"/>
    <w:rsid w:val="00C71031"/>
    <w:rsid w:val="00C72168"/>
    <w:rsid w:val="00C75EC0"/>
    <w:rsid w:val="00C91D3E"/>
    <w:rsid w:val="00C95E34"/>
    <w:rsid w:val="00CD2D55"/>
    <w:rsid w:val="00CF47F8"/>
    <w:rsid w:val="00D05F54"/>
    <w:rsid w:val="00D137B6"/>
    <w:rsid w:val="00D35723"/>
    <w:rsid w:val="00DA5787"/>
    <w:rsid w:val="00DC4999"/>
    <w:rsid w:val="00E62B02"/>
    <w:rsid w:val="00EF3EEA"/>
    <w:rsid w:val="00F05FA3"/>
    <w:rsid w:val="00F40ADD"/>
    <w:rsid w:val="00FB3B23"/>
    <w:rsid w:val="00FC2CA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123B3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0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6</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45</cp:revision>
  <dcterms:created xsi:type="dcterms:W3CDTF">2014-07-09T11:48:00Z</dcterms:created>
  <dcterms:modified xsi:type="dcterms:W3CDTF">2017-11-07T16:38:00Z</dcterms:modified>
</cp:coreProperties>
</file>