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D137B6">
            <w:pPr>
              <w:tabs>
                <w:tab w:val="center" w:pos="4513"/>
                <w:tab w:val="left" w:pos="5626"/>
              </w:tabs>
              <w:rPr>
                <w:b/>
              </w:rPr>
            </w:pPr>
            <w:r>
              <w:rPr>
                <w:b/>
              </w:rPr>
              <w:t>AUDIT REPORT NUMBER:</w:t>
            </w:r>
            <w:r w:rsidR="0028684E">
              <w:rPr>
                <w:b/>
              </w:rPr>
              <w:t xml:space="preserve"> </w:t>
            </w:r>
            <w:r w:rsidR="00562E66">
              <w:rPr>
                <w:b/>
              </w:rPr>
              <w:t xml:space="preserve">    </w:t>
            </w:r>
            <w:r w:rsidR="000B2FE8">
              <w:rPr>
                <w:b/>
              </w:rPr>
              <w:t>09-10-2017-002</w:t>
            </w:r>
            <w:r w:rsidR="00562E66">
              <w:rPr>
                <w:b/>
              </w:rPr>
              <w:t xml:space="preserve"> Leadership</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562E66">
            <w:pPr>
              <w:tabs>
                <w:tab w:val="center" w:pos="4513"/>
                <w:tab w:val="left" w:pos="5626"/>
              </w:tabs>
              <w:rPr>
                <w:b/>
              </w:rPr>
            </w:pPr>
            <w:r>
              <w:rPr>
                <w:b/>
              </w:rPr>
              <w:t xml:space="preserve">Auditee(s) </w:t>
            </w:r>
            <w:r w:rsidRPr="00123B36">
              <w:t>Alison Pickett (AP)</w:t>
            </w:r>
          </w:p>
        </w:tc>
        <w:tc>
          <w:tcPr>
            <w:tcW w:w="4843" w:type="dxa"/>
          </w:tcPr>
          <w:p w:rsidR="00562E66" w:rsidRDefault="00562E66" w:rsidP="00562E66">
            <w:pPr>
              <w:tabs>
                <w:tab w:val="center" w:pos="4513"/>
                <w:tab w:val="left" w:pos="5626"/>
              </w:tabs>
              <w:rPr>
                <w:b/>
              </w:rPr>
            </w:pPr>
            <w:r>
              <w:rPr>
                <w:b/>
              </w:rPr>
              <w:t xml:space="preserve">Audit Date </w:t>
            </w:r>
            <w:r>
              <w:t>9</w:t>
            </w:r>
            <w:r w:rsidRPr="00AC3BDA">
              <w:rPr>
                <w:vertAlign w:val="superscript"/>
              </w:rPr>
              <w:t>th</w:t>
            </w:r>
            <w:r>
              <w:t xml:space="preserve"> October 2017</w:t>
            </w:r>
          </w:p>
          <w:p w:rsidR="006E0C65" w:rsidRDefault="00562E66" w:rsidP="00562E66">
            <w:pPr>
              <w:tabs>
                <w:tab w:val="center" w:pos="4513"/>
                <w:tab w:val="left" w:pos="5626"/>
              </w:tabs>
              <w:rPr>
                <w:b/>
              </w:rPr>
            </w:pPr>
            <w:r>
              <w:rPr>
                <w:b/>
              </w:rPr>
              <w:t xml:space="preserve">Audit Times </w:t>
            </w:r>
            <w:r w:rsidR="00DC35CD">
              <w:t>10:55-12:00, 13:00</w:t>
            </w:r>
            <w:r>
              <w:t>-15:00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F244C9" w:rsidP="00F244C9">
      <w:pPr>
        <w:spacing w:after="0"/>
      </w:pPr>
      <w:r>
        <w:t>The audit reviewed leadership, roles and responsibilities, and the environmental and information security policies.</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026F65" w:rsidRDefault="00026F65" w:rsidP="00026F65">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562E66" w:rsidRDefault="00562E66" w:rsidP="00562E66">
            <w:r>
              <w:t>Performance meetings are carried out weekly and ISO meetings are conducted monthly. AP confirmed that this was strengthened as per the Stage 1 actions.</w:t>
            </w:r>
          </w:p>
          <w:p w:rsidR="00562E66" w:rsidRDefault="00562E66" w:rsidP="00562E66">
            <w:r>
              <w:t>An ISO meeting is planned for 10</w:t>
            </w:r>
            <w:r w:rsidRPr="00984842">
              <w:rPr>
                <w:vertAlign w:val="superscript"/>
              </w:rPr>
              <w:t>th</w:t>
            </w:r>
            <w:r>
              <w:t xml:space="preserve"> October 2017, to give personnel updates on ISO. It will be attended by the Managing Director, Operations Director, Financial Director, Sales Director, Compliance Director, Contracts Managers, Fleet Manager, Ops and Compliance Manager, Admin Supervisor, Project Support, and Freight Supervisor (director level and top level management) The minutes will be circulated, and information cascaded to TDL staff.</w:t>
            </w:r>
          </w:p>
          <w:p w:rsidR="00562E66" w:rsidRDefault="00562E66" w:rsidP="00562E66">
            <w:r>
              <w:t xml:space="preserve">A Pickett has signed the ISMS and EMS policies, as the Operations &amp; Compliance Director. They were reviewed (see notes below) and are compatible with the strategic direction of the business. </w:t>
            </w:r>
          </w:p>
          <w:p w:rsidR="00562E66" w:rsidRDefault="00562E66" w:rsidP="00562E66">
            <w:r>
              <w:t>The ISMS and EMS objectives have been established (see notes in audit report for 6 Planning).</w:t>
            </w:r>
          </w:p>
          <w:p w:rsidR="00562E66" w:rsidRDefault="00562E66" w:rsidP="00562E66"/>
          <w:p w:rsidR="00562E66" w:rsidRDefault="00562E66" w:rsidP="00562E66">
            <w:r>
              <w:t xml:space="preserve">Review of </w:t>
            </w:r>
            <w:r w:rsidRPr="00DC58CE">
              <w:t>Environmental Policy (</w:t>
            </w:r>
            <w:r>
              <w:t>v1.1 – 11/1/17) - signed by A Pickett (10/1/17) and displayed on the premises in the Administration Office. The policy covers the following:</w:t>
            </w:r>
          </w:p>
          <w:p w:rsidR="00562E66" w:rsidRDefault="00562E66" w:rsidP="00562E66">
            <w:pPr>
              <w:pStyle w:val="ListParagraph"/>
              <w:numPr>
                <w:ilvl w:val="0"/>
                <w:numId w:val="1"/>
              </w:numPr>
              <w:spacing w:after="0" w:line="240" w:lineRule="auto"/>
            </w:pPr>
            <w:r>
              <w:t>Commitment to protection of the environment, including prevention of pollution</w:t>
            </w:r>
          </w:p>
          <w:p w:rsidR="00562E66" w:rsidRDefault="00562E66" w:rsidP="00562E66">
            <w:pPr>
              <w:pStyle w:val="ListParagraph"/>
              <w:numPr>
                <w:ilvl w:val="0"/>
                <w:numId w:val="1"/>
              </w:numPr>
              <w:spacing w:after="0" w:line="240" w:lineRule="auto"/>
            </w:pPr>
            <w:r>
              <w:t>EMS covers distribution and handling of materials</w:t>
            </w:r>
          </w:p>
          <w:p w:rsidR="00562E66" w:rsidRDefault="00562E66" w:rsidP="00562E66">
            <w:pPr>
              <w:pStyle w:val="ListParagraph"/>
              <w:numPr>
                <w:ilvl w:val="0"/>
                <w:numId w:val="1"/>
              </w:numPr>
              <w:spacing w:after="0" w:line="240" w:lineRule="auto"/>
            </w:pPr>
            <w:r>
              <w:t>Operating in environmentally hostile situations, therefore do all that is reasonably practicable to minimise the impact on the environment</w:t>
            </w:r>
          </w:p>
          <w:p w:rsidR="00562E66" w:rsidRDefault="00562E66" w:rsidP="00562E66">
            <w:pPr>
              <w:pStyle w:val="ListParagraph"/>
              <w:numPr>
                <w:ilvl w:val="0"/>
                <w:numId w:val="1"/>
              </w:numPr>
              <w:spacing w:after="0" w:line="240" w:lineRule="auto"/>
            </w:pPr>
            <w:r>
              <w:t>Compliance with relevant environmental legislation will be adhered to</w:t>
            </w:r>
          </w:p>
          <w:p w:rsidR="00562E66" w:rsidRDefault="00562E66" w:rsidP="00562E66">
            <w:pPr>
              <w:pStyle w:val="ListParagraph"/>
              <w:numPr>
                <w:ilvl w:val="0"/>
                <w:numId w:val="1"/>
              </w:numPr>
              <w:spacing w:after="0" w:line="240" w:lineRule="auto"/>
            </w:pPr>
            <w:r>
              <w:t>Continuous policy of researching and improving working methods</w:t>
            </w:r>
          </w:p>
          <w:p w:rsidR="00562E66" w:rsidRDefault="00562E66" w:rsidP="00562E66">
            <w:pPr>
              <w:pStyle w:val="ListParagraph"/>
              <w:numPr>
                <w:ilvl w:val="0"/>
                <w:numId w:val="1"/>
              </w:numPr>
              <w:spacing w:after="0" w:line="240" w:lineRule="auto"/>
            </w:pPr>
            <w:r>
              <w:t>All departments should contribute to environmental protection and performance</w:t>
            </w:r>
          </w:p>
          <w:p w:rsidR="00562E66" w:rsidRDefault="00562E66" w:rsidP="00562E66">
            <w:pPr>
              <w:pStyle w:val="ListParagraph"/>
              <w:numPr>
                <w:ilvl w:val="0"/>
                <w:numId w:val="1"/>
              </w:numPr>
              <w:spacing w:after="0" w:line="240" w:lineRule="auto"/>
            </w:pPr>
            <w:r>
              <w:t>Commercial decisions take account of impact on the environment</w:t>
            </w:r>
          </w:p>
          <w:p w:rsidR="00562E66" w:rsidRDefault="00562E66" w:rsidP="00562E66">
            <w:pPr>
              <w:pStyle w:val="ListParagraph"/>
              <w:numPr>
                <w:ilvl w:val="0"/>
                <w:numId w:val="1"/>
              </w:numPr>
              <w:spacing w:after="0" w:line="240" w:lineRule="auto"/>
            </w:pPr>
            <w:r>
              <w:lastRenderedPageBreak/>
              <w:t>Six key areas:</w:t>
            </w:r>
          </w:p>
          <w:p w:rsidR="00562E66" w:rsidRDefault="00562E66" w:rsidP="00562E66">
            <w:pPr>
              <w:pStyle w:val="ListParagraph"/>
              <w:numPr>
                <w:ilvl w:val="0"/>
                <w:numId w:val="2"/>
              </w:numPr>
              <w:spacing w:after="0" w:line="240" w:lineRule="auto"/>
            </w:pPr>
            <w:r>
              <w:t>Training personnel</w:t>
            </w:r>
          </w:p>
          <w:p w:rsidR="00562E66" w:rsidRDefault="00562E66" w:rsidP="00562E66">
            <w:pPr>
              <w:pStyle w:val="ListParagraph"/>
              <w:numPr>
                <w:ilvl w:val="0"/>
                <w:numId w:val="2"/>
              </w:numPr>
              <w:spacing w:after="0" w:line="240" w:lineRule="auto"/>
            </w:pPr>
            <w:r>
              <w:t>Supervisory and project management</w:t>
            </w:r>
          </w:p>
          <w:p w:rsidR="00562E66" w:rsidRDefault="00562E66" w:rsidP="00562E66">
            <w:pPr>
              <w:pStyle w:val="ListParagraph"/>
              <w:numPr>
                <w:ilvl w:val="0"/>
                <w:numId w:val="2"/>
              </w:numPr>
              <w:spacing w:after="0" w:line="240" w:lineRule="auto"/>
            </w:pPr>
            <w:r>
              <w:t>Quality assurance procedures</w:t>
            </w:r>
          </w:p>
          <w:p w:rsidR="00562E66" w:rsidRDefault="00562E66" w:rsidP="00562E66">
            <w:pPr>
              <w:pStyle w:val="ListParagraph"/>
              <w:numPr>
                <w:ilvl w:val="0"/>
                <w:numId w:val="2"/>
              </w:numPr>
              <w:spacing w:after="0" w:line="240" w:lineRule="auto"/>
            </w:pPr>
            <w:r>
              <w:t>Environmental disposal systems</w:t>
            </w:r>
          </w:p>
          <w:p w:rsidR="00562E66" w:rsidRDefault="00562E66" w:rsidP="00562E66">
            <w:pPr>
              <w:pStyle w:val="ListParagraph"/>
              <w:numPr>
                <w:ilvl w:val="0"/>
                <w:numId w:val="2"/>
              </w:numPr>
              <w:spacing w:after="0" w:line="240" w:lineRule="auto"/>
            </w:pPr>
            <w:r>
              <w:t>Internal/external communication</w:t>
            </w:r>
          </w:p>
          <w:p w:rsidR="00562E66" w:rsidRDefault="00562E66" w:rsidP="00562E66">
            <w:pPr>
              <w:pStyle w:val="ListParagraph"/>
              <w:numPr>
                <w:ilvl w:val="0"/>
                <w:numId w:val="2"/>
              </w:numPr>
              <w:spacing w:after="0" w:line="240" w:lineRule="auto"/>
            </w:pPr>
            <w:r>
              <w:t>Monitoring of procedures</w:t>
            </w:r>
          </w:p>
          <w:p w:rsidR="00562E66" w:rsidRPr="006A76EB" w:rsidRDefault="00562E66" w:rsidP="00562E66">
            <w:pPr>
              <w:pStyle w:val="ListParagraph"/>
              <w:numPr>
                <w:ilvl w:val="0"/>
                <w:numId w:val="1"/>
              </w:numPr>
              <w:spacing w:after="0" w:line="240" w:lineRule="auto"/>
            </w:pPr>
            <w:r w:rsidRPr="006A76EB">
              <w:t>These six form the basis of the environmental objectives, which are monitored and reviewed regularly</w:t>
            </w:r>
          </w:p>
          <w:p w:rsidR="00562E66" w:rsidRPr="006A76EB" w:rsidRDefault="00562E66" w:rsidP="00562E66">
            <w:pPr>
              <w:pStyle w:val="ListParagraph"/>
              <w:numPr>
                <w:ilvl w:val="0"/>
                <w:numId w:val="1"/>
              </w:numPr>
              <w:spacing w:after="0" w:line="240" w:lineRule="auto"/>
            </w:pPr>
            <w:r w:rsidRPr="006A76EB">
              <w:t>Policy communicated through the training and awareness plan, and to interested parties where applicable</w:t>
            </w:r>
          </w:p>
          <w:p w:rsidR="00562E66" w:rsidRDefault="00562E66" w:rsidP="00562E66"/>
          <w:p w:rsidR="00562E66" w:rsidRDefault="00562E66" w:rsidP="00562E66">
            <w:pPr>
              <w:rPr>
                <w:b/>
                <w:color w:val="FF0000"/>
              </w:rPr>
            </w:pPr>
          </w:p>
          <w:p w:rsidR="00562E66" w:rsidRDefault="00562E66" w:rsidP="00562E66">
            <w:r>
              <w:t>Review of Information Security Policy (v1.0 – 24</w:t>
            </w:r>
            <w:r w:rsidRPr="00604CA2">
              <w:rPr>
                <w:vertAlign w:val="superscript"/>
              </w:rPr>
              <w:t>th</w:t>
            </w:r>
            <w:r>
              <w:t xml:space="preserve"> March 2017) – signed by A Pickett dated 24/3/17. This is displayed in the Administration Office (</w:t>
            </w:r>
            <w:r w:rsidRPr="00604CA2">
              <w:rPr>
                <w:b/>
                <w:color w:val="FF0000"/>
              </w:rPr>
              <w:t>due to be placed on the wall with the other policies</w:t>
            </w:r>
            <w:r>
              <w:t>) and covers:</w:t>
            </w:r>
          </w:p>
          <w:p w:rsidR="00562E66" w:rsidRDefault="00562E66" w:rsidP="00562E66">
            <w:pPr>
              <w:pStyle w:val="ListParagraph"/>
              <w:numPr>
                <w:ilvl w:val="0"/>
                <w:numId w:val="1"/>
              </w:numPr>
              <w:spacing w:after="200" w:line="276" w:lineRule="auto"/>
            </w:pPr>
            <w:r>
              <w:t>Commitment to maintaining and improving information security in the company, and minimising exposure to all risks</w:t>
            </w:r>
          </w:p>
          <w:p w:rsidR="00562E66" w:rsidRDefault="00562E66" w:rsidP="00562E66">
            <w:pPr>
              <w:pStyle w:val="ListParagraph"/>
              <w:numPr>
                <w:ilvl w:val="0"/>
                <w:numId w:val="1"/>
              </w:numPr>
              <w:spacing w:after="200" w:line="276" w:lineRule="auto"/>
            </w:pPr>
            <w:r>
              <w:t>9 key commitments bullet pointed:</w:t>
            </w:r>
          </w:p>
          <w:p w:rsidR="00562E66" w:rsidRDefault="00562E66" w:rsidP="00562E66">
            <w:pPr>
              <w:pStyle w:val="ListParagraph"/>
              <w:numPr>
                <w:ilvl w:val="0"/>
                <w:numId w:val="3"/>
              </w:numPr>
              <w:spacing w:after="200" w:line="276" w:lineRule="auto"/>
            </w:pPr>
            <w:r>
              <w:t>Corporate &amp; Customer information protected against unauthorised access</w:t>
            </w:r>
          </w:p>
          <w:p w:rsidR="00562E66" w:rsidRDefault="00562E66" w:rsidP="00562E66">
            <w:pPr>
              <w:pStyle w:val="ListParagraph"/>
              <w:numPr>
                <w:ilvl w:val="0"/>
                <w:numId w:val="3"/>
              </w:numPr>
              <w:spacing w:after="200" w:line="276" w:lineRule="auto"/>
            </w:pPr>
            <w:r>
              <w:t>Information protected through the access control policy and procedures</w:t>
            </w:r>
          </w:p>
          <w:p w:rsidR="00562E66" w:rsidRDefault="00562E66" w:rsidP="00562E66">
            <w:pPr>
              <w:pStyle w:val="ListParagraph"/>
              <w:numPr>
                <w:ilvl w:val="0"/>
                <w:numId w:val="3"/>
              </w:numPr>
              <w:spacing w:after="200" w:line="276" w:lineRule="auto"/>
            </w:pPr>
            <w:r>
              <w:t>Regular IS training &amp; awareness for all employees</w:t>
            </w:r>
          </w:p>
          <w:p w:rsidR="00562E66" w:rsidRDefault="00562E66" w:rsidP="00562E66">
            <w:pPr>
              <w:pStyle w:val="ListParagraph"/>
              <w:numPr>
                <w:ilvl w:val="0"/>
                <w:numId w:val="3"/>
              </w:numPr>
              <w:spacing w:after="200" w:line="276" w:lineRule="auto"/>
            </w:pPr>
            <w:r>
              <w:t>Supply information to all relevant business processes &amp; employees appropriate to their roles and responsibilities</w:t>
            </w:r>
          </w:p>
          <w:p w:rsidR="00562E66" w:rsidRDefault="00562E66" w:rsidP="00562E66">
            <w:pPr>
              <w:pStyle w:val="ListParagraph"/>
              <w:numPr>
                <w:ilvl w:val="0"/>
                <w:numId w:val="3"/>
              </w:numPr>
              <w:spacing w:after="200" w:line="276" w:lineRule="auto"/>
            </w:pPr>
            <w:r>
              <w:t>Identify and meet all regulatory and legislative requirements</w:t>
            </w:r>
          </w:p>
          <w:p w:rsidR="00562E66" w:rsidRDefault="00562E66" w:rsidP="00562E66">
            <w:pPr>
              <w:pStyle w:val="ListParagraph"/>
              <w:numPr>
                <w:ilvl w:val="0"/>
                <w:numId w:val="3"/>
              </w:numPr>
              <w:spacing w:after="200" w:line="276" w:lineRule="auto"/>
            </w:pPr>
            <w:r>
              <w:t>Maintain and regularly test DR and BCP’s</w:t>
            </w:r>
          </w:p>
          <w:p w:rsidR="00562E66" w:rsidRDefault="00562E66" w:rsidP="00562E66">
            <w:pPr>
              <w:pStyle w:val="ListParagraph"/>
              <w:numPr>
                <w:ilvl w:val="0"/>
                <w:numId w:val="3"/>
              </w:numPr>
              <w:spacing w:after="200" w:line="276" w:lineRule="auto"/>
            </w:pPr>
            <w:r>
              <w:t>IS events and incidents reported and investigated by management – OFI’s identified and implemented</w:t>
            </w:r>
          </w:p>
          <w:p w:rsidR="00562E66" w:rsidRDefault="00562E66" w:rsidP="00562E66">
            <w:pPr>
              <w:pStyle w:val="ListParagraph"/>
              <w:numPr>
                <w:ilvl w:val="0"/>
                <w:numId w:val="3"/>
              </w:numPr>
              <w:spacing w:after="200" w:line="276" w:lineRule="auto"/>
            </w:pPr>
            <w:r>
              <w:t>Adhere to requirements of ISO 27001:2013</w:t>
            </w:r>
          </w:p>
          <w:p w:rsidR="00562E66" w:rsidRDefault="00562E66" w:rsidP="00562E66">
            <w:pPr>
              <w:pStyle w:val="ListParagraph"/>
              <w:numPr>
                <w:ilvl w:val="0"/>
                <w:numId w:val="3"/>
              </w:numPr>
              <w:spacing w:after="200" w:line="276" w:lineRule="auto"/>
            </w:pPr>
            <w:r>
              <w:t>Communicate policy internally and externally and upon request</w:t>
            </w:r>
          </w:p>
          <w:p w:rsidR="00562E66" w:rsidRDefault="00562E66" w:rsidP="00562E66">
            <w:pPr>
              <w:pStyle w:val="ListParagraph"/>
              <w:numPr>
                <w:ilvl w:val="0"/>
                <w:numId w:val="1"/>
              </w:numPr>
              <w:spacing w:after="200" w:line="276" w:lineRule="auto"/>
            </w:pPr>
            <w:r>
              <w:t xml:space="preserve">Continual improvement through ongoing management reviews, RA’s, regular audits, and security incident reporting. </w:t>
            </w:r>
          </w:p>
          <w:p w:rsidR="00562E66" w:rsidRDefault="00562E66" w:rsidP="00562E66">
            <w:pPr>
              <w:pStyle w:val="ListParagraph"/>
              <w:numPr>
                <w:ilvl w:val="0"/>
                <w:numId w:val="1"/>
              </w:numPr>
              <w:spacing w:after="200" w:line="276" w:lineRule="auto"/>
            </w:pPr>
            <w:r>
              <w:t>Policy works in conjunction with 9001 and 14001</w:t>
            </w:r>
          </w:p>
          <w:p w:rsidR="00562E66" w:rsidRDefault="00562E66" w:rsidP="00562E66">
            <w:pPr>
              <w:pStyle w:val="ListParagraph"/>
              <w:numPr>
                <w:ilvl w:val="0"/>
                <w:numId w:val="1"/>
              </w:numPr>
              <w:spacing w:after="200" w:line="276" w:lineRule="auto"/>
            </w:pPr>
            <w:r>
              <w:t>Provides framework for establishing and reviewing IS objectives</w:t>
            </w:r>
          </w:p>
          <w:p w:rsidR="00562E66" w:rsidRDefault="00562E66" w:rsidP="00562E66">
            <w:pPr>
              <w:pStyle w:val="ListParagraph"/>
              <w:numPr>
                <w:ilvl w:val="0"/>
                <w:numId w:val="1"/>
              </w:numPr>
              <w:spacing w:after="200" w:line="276" w:lineRule="auto"/>
            </w:pPr>
            <w:r>
              <w:t>Annual review of policy to ensure its appropriateness</w:t>
            </w:r>
          </w:p>
          <w:p w:rsidR="00562E66" w:rsidRDefault="00562E66" w:rsidP="00562E66">
            <w:pPr>
              <w:pStyle w:val="ListParagraph"/>
              <w:numPr>
                <w:ilvl w:val="0"/>
                <w:numId w:val="1"/>
              </w:numPr>
              <w:spacing w:after="200" w:line="276" w:lineRule="auto"/>
            </w:pPr>
            <w:r>
              <w:t>Management team responsible for communication of the policy</w:t>
            </w:r>
          </w:p>
          <w:p w:rsidR="00562E66" w:rsidRPr="0075769B" w:rsidRDefault="00562E66" w:rsidP="00562E66">
            <w:r>
              <w:t xml:space="preserve">The Organisation Chart </w:t>
            </w:r>
            <w:r w:rsidRPr="0075769B">
              <w:t>October 2017 was presented to the auditor (v1.0 – 4</w:t>
            </w:r>
            <w:r w:rsidRPr="0075769B">
              <w:rPr>
                <w:vertAlign w:val="superscript"/>
              </w:rPr>
              <w:t>th</w:t>
            </w:r>
            <w:r w:rsidRPr="0075769B">
              <w:t xml:space="preserve"> October 2017)</w:t>
            </w:r>
            <w:r>
              <w:t xml:space="preserve"> (</w:t>
            </w:r>
            <w:r w:rsidRPr="006A76EB">
              <w:rPr>
                <w:b/>
                <w:color w:val="4F81BD" w:themeColor="accent1"/>
              </w:rPr>
              <w:t>see Sample 3</w:t>
            </w:r>
            <w:r>
              <w:t>).</w:t>
            </w:r>
          </w:p>
          <w:p w:rsidR="00562E66" w:rsidRDefault="00562E66" w:rsidP="00562E66">
            <w:r w:rsidRPr="0075769B">
              <w:t>The chart defines job titles, rather than personnel names, and who they re</w:t>
            </w:r>
            <w:r>
              <w:t>port to.</w:t>
            </w:r>
          </w:p>
          <w:p w:rsidR="00562E66" w:rsidRDefault="00562E66" w:rsidP="00562E66">
            <w:r>
              <w:t>The job title also determines whether the individual is a trained Fire Marshall (FM), First Aider (FA), Business Continuity Response Team (BCRT) member, and EMS (EMSO) and ISMS (ISMSO) Officers.</w:t>
            </w:r>
          </w:p>
          <w:p w:rsidR="00562E66" w:rsidRDefault="00562E66" w:rsidP="00562E66">
            <w:r>
              <w:t>The following personnel were included in the chart:</w:t>
            </w:r>
          </w:p>
          <w:p w:rsidR="00562E66" w:rsidRDefault="00562E66" w:rsidP="00562E66">
            <w:pPr>
              <w:pStyle w:val="ListParagraph"/>
              <w:numPr>
                <w:ilvl w:val="0"/>
                <w:numId w:val="1"/>
              </w:numPr>
              <w:spacing w:after="200" w:line="276" w:lineRule="auto"/>
            </w:pPr>
            <w:r>
              <w:t>Operations Director (reporting to Managing Director) is also a BCRT</w:t>
            </w:r>
          </w:p>
          <w:p w:rsidR="00562E66" w:rsidRDefault="00562E66" w:rsidP="00562E66">
            <w:pPr>
              <w:pStyle w:val="ListParagraph"/>
              <w:numPr>
                <w:ilvl w:val="0"/>
                <w:numId w:val="1"/>
              </w:numPr>
              <w:spacing w:after="200" w:line="276" w:lineRule="auto"/>
            </w:pPr>
            <w:r>
              <w:t>Compliance Director (reporting to Managing Director) is also BCRT and ISMSO</w:t>
            </w:r>
          </w:p>
          <w:p w:rsidR="00562E66" w:rsidRDefault="00562E66" w:rsidP="00562E66">
            <w:pPr>
              <w:pStyle w:val="ListParagraph"/>
              <w:numPr>
                <w:ilvl w:val="0"/>
                <w:numId w:val="1"/>
              </w:numPr>
              <w:spacing w:after="200" w:line="276" w:lineRule="auto"/>
            </w:pPr>
            <w:r>
              <w:t>Freight Manager (reporting to Compliance Director) is also BCRT, EMSO, FM, and FA</w:t>
            </w:r>
          </w:p>
          <w:p w:rsidR="00562E66" w:rsidRDefault="00562E66" w:rsidP="00562E66">
            <w:pPr>
              <w:pStyle w:val="ListParagraph"/>
              <w:numPr>
                <w:ilvl w:val="0"/>
                <w:numId w:val="1"/>
              </w:numPr>
              <w:spacing w:after="200" w:line="276" w:lineRule="auto"/>
            </w:pPr>
            <w:r>
              <w:t>Kewaigue Depot Contracts Manager (reporting to Operations Director) is also BCRT and FM</w:t>
            </w:r>
          </w:p>
          <w:p w:rsidR="006E0C65" w:rsidRDefault="006E0C65" w:rsidP="006E0C65"/>
          <w:p w:rsidR="00D137B6" w:rsidRDefault="00D137B6" w:rsidP="006E0C65"/>
          <w:p w:rsidR="00D137B6" w:rsidRDefault="00D137B6" w:rsidP="006E0C65"/>
          <w:p w:rsidR="00D137B6" w:rsidRPr="006E0C65" w:rsidRDefault="00D137B6" w:rsidP="006E0C65"/>
          <w:p w:rsidR="006E0C65" w:rsidRPr="006E0C65" w:rsidRDefault="005722EB" w:rsidP="006E0C65">
            <w:pPr>
              <w:rPr>
                <w:b/>
              </w:rPr>
            </w:pPr>
            <w:r>
              <w:rPr>
                <w:b/>
              </w:rPr>
              <w:t>Signed (auditor)              G Burnell                                                                                             Date 9/10/17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F244C9">
        <w:tc>
          <w:tcPr>
            <w:tcW w:w="2486" w:type="dxa"/>
            <w:shd w:val="clear" w:color="auto" w:fill="00B050"/>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Pr="00026F65" w:rsidRDefault="00026F65" w:rsidP="00D35723">
            <w:pPr>
              <w:tabs>
                <w:tab w:val="center" w:pos="4513"/>
                <w:tab w:val="left" w:pos="5626"/>
              </w:tabs>
              <w:rPr>
                <w:szCs w:val="20"/>
              </w:rPr>
            </w:pPr>
            <w:r w:rsidRPr="00026F65">
              <w:rPr>
                <w:szCs w:val="20"/>
              </w:rPr>
              <w:t>The process passed the audit, with the following observation noted:</w:t>
            </w:r>
          </w:p>
          <w:p w:rsidR="00F244C9" w:rsidRDefault="00F244C9" w:rsidP="00D35723">
            <w:pPr>
              <w:tabs>
                <w:tab w:val="center" w:pos="4513"/>
                <w:tab w:val="left" w:pos="5626"/>
              </w:tabs>
              <w:rPr>
                <w:i/>
                <w:sz w:val="20"/>
                <w:szCs w:val="20"/>
              </w:rPr>
            </w:pPr>
            <w:r>
              <w:rPr>
                <w:b/>
                <w:color w:val="FF0000"/>
              </w:rPr>
              <w:t xml:space="preserve">The information security policy is </w:t>
            </w:r>
            <w:r w:rsidRPr="00604CA2">
              <w:rPr>
                <w:b/>
                <w:color w:val="FF0000"/>
              </w:rPr>
              <w:t>due to be placed on the wall with the other policies</w:t>
            </w:r>
            <w:r>
              <w:rPr>
                <w:b/>
                <w:color w:val="FF0000"/>
              </w:rPr>
              <w:t>.</w:t>
            </w: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5722EB" w:rsidRDefault="005722EB" w:rsidP="00D35723">
            <w:pPr>
              <w:tabs>
                <w:tab w:val="center" w:pos="4513"/>
                <w:tab w:val="left" w:pos="5626"/>
              </w:tabs>
              <w:rPr>
                <w:b/>
              </w:rPr>
            </w:pPr>
            <w:r>
              <w:rPr>
                <w:b/>
              </w:rPr>
              <w:t>Signed (auditor)              G Burnell                                                                                             Date 9/10/17</w:t>
            </w:r>
          </w:p>
          <w:p w:rsidR="006E0C65" w:rsidRPr="006E0C65" w:rsidRDefault="006E0C65" w:rsidP="00D35723">
            <w:pPr>
              <w:tabs>
                <w:tab w:val="center" w:pos="4513"/>
                <w:tab w:val="left" w:pos="5626"/>
              </w:tabs>
              <w:rPr>
                <w:b/>
              </w:rPr>
            </w:pPr>
            <w:r>
              <w:rPr>
                <w:b/>
              </w:rPr>
              <w:t xml:space="preserve">Signed (auditee)              </w:t>
            </w:r>
            <w:r w:rsidR="00AC05FA">
              <w:rPr>
                <w:b/>
                <w:color w:val="244061" w:themeColor="accent1" w:themeShade="80"/>
              </w:rPr>
              <w:t xml:space="preserve">A Pickett </w:t>
            </w:r>
            <w:r>
              <w:rPr>
                <w:b/>
              </w:rPr>
              <w:t xml:space="preserve">                                                                                            Date</w:t>
            </w:r>
            <w:r w:rsidR="00AC05FA">
              <w:rPr>
                <w:b/>
              </w:rPr>
              <w:t xml:space="preserve"> </w:t>
            </w:r>
            <w:r w:rsidR="00AC05FA" w:rsidRPr="00AC05FA">
              <w:rPr>
                <w:b/>
                <w:color w:val="244061" w:themeColor="accent1" w:themeShade="80"/>
              </w:rPr>
              <w:t>30/10/17</w:t>
            </w:r>
          </w:p>
        </w:tc>
      </w:tr>
    </w:tbl>
    <w:p w:rsidR="006E0C65" w:rsidRDefault="006E0C65" w:rsidP="00D35723">
      <w:pPr>
        <w:tabs>
          <w:tab w:val="center" w:pos="4513"/>
          <w:tab w:val="left" w:pos="5626"/>
        </w:tabs>
        <w:spacing w:after="0"/>
        <w:rPr>
          <w:b/>
        </w:rPr>
      </w:pPr>
      <w:bookmarkStart w:id="0" w:name="_GoBack"/>
      <w:bookmarkEnd w:id="0"/>
    </w:p>
    <w:tbl>
      <w:tblPr>
        <w:tblStyle w:val="TableGrid"/>
        <w:tblW w:w="9640" w:type="dxa"/>
        <w:tblInd w:w="-176" w:type="dxa"/>
        <w:tblLook w:val="04A0" w:firstRow="1" w:lastRow="0" w:firstColumn="1" w:lastColumn="0" w:noHBand="0" w:noVBand="1"/>
      </w:tblPr>
      <w:tblGrid>
        <w:gridCol w:w="9640"/>
      </w:tblGrid>
      <w:tr w:rsidR="00D137B6" w:rsidTr="00F244C9">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026F65" w:rsidRDefault="00026F65"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F244C9">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F244C9">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0458ED">
            <w:pPr>
              <w:tabs>
                <w:tab w:val="center" w:pos="4513"/>
                <w:tab w:val="left" w:pos="5626"/>
              </w:tabs>
              <w:rPr>
                <w:b/>
              </w:rPr>
            </w:pPr>
            <w:r>
              <w:rPr>
                <w:b/>
              </w:rPr>
              <w:t>Signed (process owner)                                                                                              Date</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CF47F6" w:rsidRPr="00D05F54">
                <w:rPr>
                  <w:b/>
                  <w:sz w:val="24"/>
                </w:rPr>
                <w:fldChar w:fldCharType="begin"/>
              </w:r>
              <w:r w:rsidRPr="00D05F54">
                <w:rPr>
                  <w:b/>
                  <w:sz w:val="24"/>
                </w:rPr>
                <w:instrText xml:space="preserve"> PAGE </w:instrText>
              </w:r>
              <w:r w:rsidR="00CF47F6" w:rsidRPr="00D05F54">
                <w:rPr>
                  <w:b/>
                  <w:sz w:val="24"/>
                </w:rPr>
                <w:fldChar w:fldCharType="separate"/>
              </w:r>
              <w:r w:rsidR="00AC05FA">
                <w:rPr>
                  <w:b/>
                  <w:noProof/>
                  <w:sz w:val="24"/>
                </w:rPr>
                <w:t>4</w:t>
              </w:r>
              <w:r w:rsidR="00CF47F6" w:rsidRPr="00D05F54">
                <w:rPr>
                  <w:b/>
                  <w:sz w:val="24"/>
                </w:rPr>
                <w:fldChar w:fldCharType="end"/>
              </w:r>
              <w:r w:rsidRPr="00D05F54">
                <w:rPr>
                  <w:b/>
                  <w:sz w:val="24"/>
                </w:rPr>
                <w:t xml:space="preserve"> of </w:t>
              </w:r>
              <w:r w:rsidR="00CF47F6" w:rsidRPr="00D05F54">
                <w:rPr>
                  <w:b/>
                  <w:sz w:val="24"/>
                </w:rPr>
                <w:fldChar w:fldCharType="begin"/>
              </w:r>
              <w:r w:rsidRPr="00D05F54">
                <w:rPr>
                  <w:b/>
                  <w:sz w:val="24"/>
                </w:rPr>
                <w:instrText xml:space="preserve"> NUMPAGES  </w:instrText>
              </w:r>
              <w:r w:rsidR="00CF47F6" w:rsidRPr="00D05F54">
                <w:rPr>
                  <w:b/>
                  <w:sz w:val="24"/>
                </w:rPr>
                <w:fldChar w:fldCharType="separate"/>
              </w:r>
              <w:r w:rsidR="00AC05FA">
                <w:rPr>
                  <w:b/>
                  <w:noProof/>
                  <w:sz w:val="24"/>
                </w:rPr>
                <w:t>5</w:t>
              </w:r>
              <w:r w:rsidR="00CF47F6"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6F65"/>
    <w:rsid w:val="00027D87"/>
    <w:rsid w:val="000458ED"/>
    <w:rsid w:val="0007649C"/>
    <w:rsid w:val="00082A5A"/>
    <w:rsid w:val="000B2FE8"/>
    <w:rsid w:val="000B6537"/>
    <w:rsid w:val="000F1ED6"/>
    <w:rsid w:val="001207D8"/>
    <w:rsid w:val="001529ED"/>
    <w:rsid w:val="001A14D6"/>
    <w:rsid w:val="001C3DD9"/>
    <w:rsid w:val="00223263"/>
    <w:rsid w:val="002718E8"/>
    <w:rsid w:val="002747DE"/>
    <w:rsid w:val="0028684E"/>
    <w:rsid w:val="002C6843"/>
    <w:rsid w:val="002E784E"/>
    <w:rsid w:val="0034506C"/>
    <w:rsid w:val="003913D3"/>
    <w:rsid w:val="003B2DB6"/>
    <w:rsid w:val="003D6B7A"/>
    <w:rsid w:val="00405813"/>
    <w:rsid w:val="00436D98"/>
    <w:rsid w:val="004403B8"/>
    <w:rsid w:val="004459FB"/>
    <w:rsid w:val="004769FF"/>
    <w:rsid w:val="004A0F70"/>
    <w:rsid w:val="004D5556"/>
    <w:rsid w:val="004E59C4"/>
    <w:rsid w:val="00516955"/>
    <w:rsid w:val="00562E66"/>
    <w:rsid w:val="005722EB"/>
    <w:rsid w:val="005C4C8A"/>
    <w:rsid w:val="005D700E"/>
    <w:rsid w:val="006145AB"/>
    <w:rsid w:val="006307C9"/>
    <w:rsid w:val="00633FC8"/>
    <w:rsid w:val="00666281"/>
    <w:rsid w:val="006D437E"/>
    <w:rsid w:val="006E0C65"/>
    <w:rsid w:val="006F6A8D"/>
    <w:rsid w:val="00700223"/>
    <w:rsid w:val="007B5D38"/>
    <w:rsid w:val="007E39FC"/>
    <w:rsid w:val="00850B1B"/>
    <w:rsid w:val="008C6243"/>
    <w:rsid w:val="008F5786"/>
    <w:rsid w:val="00933D4B"/>
    <w:rsid w:val="009A08C2"/>
    <w:rsid w:val="009B4D19"/>
    <w:rsid w:val="009B7F65"/>
    <w:rsid w:val="009E41BC"/>
    <w:rsid w:val="009F4C40"/>
    <w:rsid w:val="00A904D8"/>
    <w:rsid w:val="00A93292"/>
    <w:rsid w:val="00AA3ECB"/>
    <w:rsid w:val="00AC05FA"/>
    <w:rsid w:val="00AC6799"/>
    <w:rsid w:val="00AE4DB8"/>
    <w:rsid w:val="00B11078"/>
    <w:rsid w:val="00B251A4"/>
    <w:rsid w:val="00B26696"/>
    <w:rsid w:val="00BA5C5C"/>
    <w:rsid w:val="00BD7BD9"/>
    <w:rsid w:val="00BF30AF"/>
    <w:rsid w:val="00C116ED"/>
    <w:rsid w:val="00C72168"/>
    <w:rsid w:val="00C91D3E"/>
    <w:rsid w:val="00CF47F6"/>
    <w:rsid w:val="00CF47F8"/>
    <w:rsid w:val="00D05F54"/>
    <w:rsid w:val="00D137B6"/>
    <w:rsid w:val="00D35723"/>
    <w:rsid w:val="00DA5787"/>
    <w:rsid w:val="00DC35CD"/>
    <w:rsid w:val="00DC4999"/>
    <w:rsid w:val="00E62B02"/>
    <w:rsid w:val="00E87D0F"/>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5</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41</cp:revision>
  <dcterms:created xsi:type="dcterms:W3CDTF">2014-07-09T11:48:00Z</dcterms:created>
  <dcterms:modified xsi:type="dcterms:W3CDTF">2017-10-30T14:18:00Z</dcterms:modified>
</cp:coreProperties>
</file>