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381138">
              <w:rPr>
                <w:b/>
              </w:rPr>
              <w:t xml:space="preserve">    </w:t>
            </w:r>
            <w:r w:rsidR="0048126D">
              <w:rPr>
                <w:b/>
              </w:rPr>
              <w:t xml:space="preserve"> </w:t>
            </w:r>
            <w:r w:rsidR="00381138">
              <w:rPr>
                <w:b/>
              </w:rPr>
              <w:t xml:space="preserve">09-10-2017-004 </w:t>
            </w:r>
            <w:r w:rsidR="0048126D">
              <w:rPr>
                <w:b/>
              </w:rPr>
              <w:t>Compliance Obligations</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1A1135" w:rsidRPr="001A1135">
              <w:t>Alison Pickett (AP)</w:t>
            </w:r>
          </w:p>
        </w:tc>
        <w:tc>
          <w:tcPr>
            <w:tcW w:w="4843" w:type="dxa"/>
          </w:tcPr>
          <w:p w:rsidR="001A1135" w:rsidRDefault="001A1135" w:rsidP="001A1135">
            <w:pPr>
              <w:tabs>
                <w:tab w:val="center" w:pos="4513"/>
                <w:tab w:val="left" w:pos="5626"/>
              </w:tabs>
              <w:rPr>
                <w:b/>
              </w:rPr>
            </w:pPr>
            <w:r>
              <w:rPr>
                <w:b/>
              </w:rPr>
              <w:t xml:space="preserve">Audit Date </w:t>
            </w:r>
            <w:r>
              <w:t>9</w:t>
            </w:r>
            <w:r w:rsidRPr="00AC3BDA">
              <w:rPr>
                <w:vertAlign w:val="superscript"/>
              </w:rPr>
              <w:t>th</w:t>
            </w:r>
            <w:r>
              <w:t xml:space="preserve"> October 2017</w:t>
            </w:r>
          </w:p>
          <w:p w:rsidR="006E0C65" w:rsidRDefault="001A1135" w:rsidP="001A1135">
            <w:pPr>
              <w:tabs>
                <w:tab w:val="center" w:pos="4513"/>
                <w:tab w:val="left" w:pos="5626"/>
              </w:tabs>
              <w:rPr>
                <w:b/>
              </w:rPr>
            </w:pPr>
            <w:r>
              <w:rPr>
                <w:b/>
              </w:rPr>
              <w:t xml:space="preserve">Audit Times </w:t>
            </w:r>
            <w:r w:rsidR="005E3F5A">
              <w:t>10:55-12:00, 13:00</w:t>
            </w:r>
            <w:r>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48126D">
        <w:t>compliance obligations.</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434B06" w:rsidRDefault="00434B06" w:rsidP="00434B06">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48126D" w:rsidRDefault="0048126D" w:rsidP="0048126D">
            <w:r w:rsidRPr="003D381F">
              <w:t>Certificates displayed in the Admin Office</w:t>
            </w:r>
            <w:r>
              <w:t xml:space="preserve"> (all insurance with NFU Mutual)</w:t>
            </w:r>
            <w:r w:rsidRPr="003D381F">
              <w:t>:</w:t>
            </w:r>
          </w:p>
          <w:p w:rsidR="0048126D" w:rsidRDefault="0048126D" w:rsidP="0048126D">
            <w:pPr>
              <w:pStyle w:val="ListParagraph"/>
              <w:numPr>
                <w:ilvl w:val="0"/>
                <w:numId w:val="4"/>
              </w:numPr>
              <w:spacing w:after="0" w:line="240" w:lineRule="auto"/>
            </w:pPr>
            <w:r>
              <w:t>Goods in Transit Insurance dated 31/1/17, expires 30/1/18, with RSA, No. RKK916108</w:t>
            </w:r>
          </w:p>
          <w:p w:rsidR="0048126D" w:rsidRDefault="0048126D" w:rsidP="0048126D">
            <w:pPr>
              <w:pStyle w:val="ListParagraph"/>
              <w:numPr>
                <w:ilvl w:val="0"/>
                <w:numId w:val="4"/>
              </w:numPr>
              <w:spacing w:after="0" w:line="240" w:lineRule="auto"/>
            </w:pPr>
            <w:r>
              <w:t>Motor Insurance, 003X6282248/NO5/LF, effective 31/1/17, expires 31/1/18</w:t>
            </w:r>
          </w:p>
          <w:p w:rsidR="0048126D" w:rsidRDefault="0048126D" w:rsidP="0048126D">
            <w:pPr>
              <w:pStyle w:val="ListParagraph"/>
              <w:numPr>
                <w:ilvl w:val="0"/>
                <w:numId w:val="4"/>
              </w:numPr>
              <w:spacing w:after="0" w:line="240" w:lineRule="auto"/>
            </w:pPr>
            <w:r>
              <w:t>Public Liability Insurance, 080X6285005, issued 1/2/17, effective 31/1/17, expires 31/1/18</w:t>
            </w:r>
          </w:p>
          <w:p w:rsidR="0048126D" w:rsidRDefault="0048126D" w:rsidP="0048126D">
            <w:pPr>
              <w:pStyle w:val="ListParagraph"/>
              <w:numPr>
                <w:ilvl w:val="0"/>
                <w:numId w:val="4"/>
              </w:numPr>
              <w:spacing w:after="0" w:line="240" w:lineRule="auto"/>
            </w:pPr>
            <w:r>
              <w:t>Employer’s Liability Insurance, 080X6285005, effective 31/1/17. Expires 31/1/18</w:t>
            </w:r>
          </w:p>
          <w:p w:rsidR="0048126D" w:rsidRDefault="0048126D" w:rsidP="0048126D">
            <w:pPr>
              <w:pStyle w:val="ListParagraph"/>
              <w:numPr>
                <w:ilvl w:val="0"/>
                <w:numId w:val="4"/>
              </w:numPr>
              <w:spacing w:after="0" w:line="240" w:lineRule="auto"/>
            </w:pPr>
            <w:r>
              <w:t xml:space="preserve">Certificate of Registration under the Waste (England &amp; Wales) Regulations 2011 – from Environment Agency – Carrier TDL - Registered as a lower tier waste carrier, broker and dealer – </w:t>
            </w:r>
            <w:proofErr w:type="spellStart"/>
            <w:r>
              <w:t>Reg</w:t>
            </w:r>
            <w:proofErr w:type="spellEnd"/>
            <w:r>
              <w:t xml:space="preserve"> No. CBDL157396 – Address: IOM – Effective: 30/1/17 – Registration lasts indefinitely</w:t>
            </w:r>
          </w:p>
          <w:p w:rsidR="0048126D" w:rsidRDefault="0048126D" w:rsidP="0048126D"/>
          <w:p w:rsidR="0048126D" w:rsidRDefault="0048126D" w:rsidP="0048126D">
            <w:r w:rsidRPr="005F4740">
              <w:t>Legislative and Statutory Requirements Register</w:t>
            </w:r>
            <w:r>
              <w:t xml:space="preserve"> – v1 3</w:t>
            </w:r>
            <w:r w:rsidRPr="00A60E02">
              <w:rPr>
                <w:vertAlign w:val="superscript"/>
              </w:rPr>
              <w:t>rd</w:t>
            </w:r>
            <w:r>
              <w:t xml:space="preserve"> July 2017</w:t>
            </w:r>
          </w:p>
          <w:p w:rsidR="0048126D" w:rsidRDefault="0048126D" w:rsidP="0048126D">
            <w:r>
              <w:t>This details the legal or contractual obligations relevant to TDL, whether it is relevant to QMS, EMS, or ISMS, how it applies to TDL, how TDL evidence their compliance, review dates, and outcome of review. The reviews are undertaken to ensure there have not been any changes to the obligation/requirement.</w:t>
            </w:r>
          </w:p>
          <w:p w:rsidR="0048126D" w:rsidRDefault="0048126D" w:rsidP="0048126D">
            <w:r>
              <w:t>Sampled 3 for the ISMS:</w:t>
            </w:r>
          </w:p>
          <w:p w:rsidR="0048126D" w:rsidRDefault="0048126D" w:rsidP="0048126D">
            <w:pPr>
              <w:pStyle w:val="ListParagraph"/>
              <w:numPr>
                <w:ilvl w:val="0"/>
                <w:numId w:val="5"/>
              </w:numPr>
              <w:spacing w:after="0" w:line="240" w:lineRule="auto"/>
            </w:pPr>
            <w:r>
              <w:t>Bribery Act - Offences connected to bribery – Communicated within Staff Handbook (Anti-Bribery Policy – Gifts and Hospitality Register) – required to protect IP and employees – 20.4.17 – next review 20.4.18 – Owner: AP</w:t>
            </w:r>
          </w:p>
          <w:p w:rsidR="0048126D" w:rsidRDefault="0048126D" w:rsidP="0048126D">
            <w:pPr>
              <w:pStyle w:val="ListParagraph"/>
              <w:numPr>
                <w:ilvl w:val="0"/>
                <w:numId w:val="5"/>
              </w:numPr>
              <w:spacing w:after="0" w:line="240" w:lineRule="auto"/>
            </w:pPr>
            <w:r>
              <w:t>Control of Employment Act – Work permits and general restrictions on employment – business has employees – Contracts of Employment, work permit records (held with HR) – 20.4.17 – next review 20.4.18 – Owner: AP</w:t>
            </w:r>
          </w:p>
          <w:p w:rsidR="0048126D" w:rsidRDefault="0048126D" w:rsidP="0048126D">
            <w:pPr>
              <w:pStyle w:val="ListParagraph"/>
              <w:numPr>
                <w:ilvl w:val="0"/>
                <w:numId w:val="5"/>
              </w:numPr>
              <w:spacing w:after="0" w:line="240" w:lineRule="auto"/>
            </w:pPr>
            <w:r>
              <w:t xml:space="preserve">Data Protection Act – highlighted red as GDPR could overtake this – DPO will be Sarah Blayden   </w:t>
            </w:r>
          </w:p>
          <w:p w:rsidR="0048126D" w:rsidRPr="005F4740" w:rsidRDefault="0048126D" w:rsidP="0048126D">
            <w:pPr>
              <w:pStyle w:val="ListParagraph"/>
            </w:pPr>
            <w:r w:rsidRPr="005F4740">
              <w:t xml:space="preserve">Protection of personal information, including employment records, business to consumer – next </w:t>
            </w:r>
            <w:r w:rsidRPr="005F4740">
              <w:lastRenderedPageBreak/>
              <w:t>review 31/12/17 (GDPR) – Owner: SB</w:t>
            </w:r>
          </w:p>
          <w:p w:rsidR="0048126D" w:rsidRPr="005F4740" w:rsidRDefault="0048126D" w:rsidP="0048126D">
            <w:r w:rsidRPr="005F4740">
              <w:t>Sampled 3 for the EMS:</w:t>
            </w:r>
          </w:p>
          <w:p w:rsidR="0048126D" w:rsidRPr="005F4740" w:rsidRDefault="0048126D" w:rsidP="0048126D">
            <w:pPr>
              <w:pStyle w:val="ListParagraph"/>
              <w:numPr>
                <w:ilvl w:val="0"/>
                <w:numId w:val="6"/>
              </w:numPr>
              <w:spacing w:after="0" w:line="240" w:lineRule="auto"/>
            </w:pPr>
            <w:r w:rsidRPr="005F4740">
              <w:t xml:space="preserve">   Fire Precautions Act – protection of persons – Fire management records, needs alarm and </w:t>
            </w:r>
            <w:proofErr w:type="spellStart"/>
            <w:r w:rsidRPr="005F4740">
              <w:t>evac</w:t>
            </w:r>
            <w:proofErr w:type="spellEnd"/>
            <w:r w:rsidRPr="005F4740">
              <w:t xml:space="preserve"> testing (Mickey Cowell)</w:t>
            </w:r>
          </w:p>
          <w:p w:rsidR="0048126D" w:rsidRDefault="0048126D" w:rsidP="0048126D">
            <w:pPr>
              <w:pStyle w:val="ListParagraph"/>
              <w:numPr>
                <w:ilvl w:val="0"/>
                <w:numId w:val="6"/>
              </w:numPr>
              <w:spacing w:after="0" w:line="240" w:lineRule="auto"/>
            </w:pPr>
            <w:r>
              <w:t xml:space="preserve">  Public Health Act – noise controls, vermin – Rentokil for pest control, Noise: do not operate 24/7 full capacity  </w:t>
            </w:r>
          </w:p>
          <w:p w:rsidR="0048126D" w:rsidRDefault="0048126D" w:rsidP="0048126D">
            <w:pPr>
              <w:pStyle w:val="ListParagraph"/>
              <w:numPr>
                <w:ilvl w:val="0"/>
                <w:numId w:val="6"/>
              </w:numPr>
              <w:spacing w:after="0" w:line="240" w:lineRule="auto"/>
            </w:pPr>
            <w:r>
              <w:t xml:space="preserve">COSHH </w:t>
            </w:r>
            <w:proofErr w:type="spellStart"/>
            <w:r>
              <w:t>Regs</w:t>
            </w:r>
            <w:proofErr w:type="spellEnd"/>
            <w:r>
              <w:t xml:space="preserve"> – retain COSHH paperwork for hazardous goods stored on site – relevant spill kits</w:t>
            </w:r>
          </w:p>
          <w:p w:rsidR="0048126D" w:rsidRDefault="0048126D" w:rsidP="0048126D">
            <w:pPr>
              <w:rPr>
                <w:highlight w:val="yellow"/>
              </w:rPr>
            </w:pPr>
          </w:p>
          <w:p w:rsidR="0048126D" w:rsidRDefault="0048126D" w:rsidP="0048126D">
            <w:r w:rsidRPr="00DC6077">
              <w:rPr>
                <w:highlight w:val="yellow"/>
              </w:rPr>
              <w:t xml:space="preserve">Ensure Compliance Evidence column is filled in </w:t>
            </w:r>
            <w:proofErr w:type="gramStart"/>
            <w:r w:rsidRPr="00DC6077">
              <w:rPr>
                <w:highlight w:val="yellow"/>
              </w:rPr>
              <w:t>f</w:t>
            </w:r>
            <w:r>
              <w:rPr>
                <w:highlight w:val="yellow"/>
              </w:rPr>
              <w:t>or each legislation</w:t>
            </w:r>
            <w:proofErr w:type="gramEnd"/>
            <w:r>
              <w:rPr>
                <w:highlight w:val="yellow"/>
              </w:rPr>
              <w:t>, even if not applicable.</w:t>
            </w:r>
          </w:p>
          <w:p w:rsidR="0048126D" w:rsidRDefault="0048126D" w:rsidP="0048126D"/>
          <w:p w:rsidR="0048126D" w:rsidRDefault="0048126D" w:rsidP="0048126D">
            <w:r>
              <w:t>Planning actions to address risks and opportunities and significant environmental aspects, are determined within a detailed Treatment plan, which has an assigned owner for each treatment/risk.</w:t>
            </w:r>
          </w:p>
          <w:p w:rsidR="006E0C65" w:rsidRDefault="0048126D" w:rsidP="0048126D">
            <w:r>
              <w:t xml:space="preserve">Actions to address compliance obligations are determined within the </w:t>
            </w:r>
            <w:r w:rsidRPr="005F4740">
              <w:t>Legislative and Statutory Requirements</w:t>
            </w:r>
            <w:r>
              <w:t xml:space="preserve"> Register.</w:t>
            </w:r>
          </w:p>
          <w:p w:rsidR="00D137B6" w:rsidRDefault="00D137B6" w:rsidP="006E0C65"/>
          <w:p w:rsidR="00D137B6" w:rsidRPr="006E0C65" w:rsidRDefault="00D137B6" w:rsidP="006E0C65"/>
          <w:p w:rsidR="006E0C65" w:rsidRPr="006E0C65" w:rsidRDefault="002611CF"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48126D">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shd w:val="clear" w:color="auto" w:fill="FFFF00"/>
          </w:tcPr>
          <w:p w:rsidR="006E0C65" w:rsidRDefault="006E0C65" w:rsidP="00D35723">
            <w:pPr>
              <w:tabs>
                <w:tab w:val="center" w:pos="4513"/>
                <w:tab w:val="left" w:pos="5626"/>
              </w:tabs>
              <w:rPr>
                <w:b/>
              </w:rPr>
            </w:pPr>
            <w:r>
              <w:rPr>
                <w:b/>
              </w:rPr>
              <w:t>O F I</w:t>
            </w:r>
            <w:r w:rsidR="0048126D">
              <w:rPr>
                <w:b/>
              </w:rPr>
              <w:t xml:space="preserve">   1</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48126D" w:rsidRDefault="0048126D" w:rsidP="0048126D">
            <w:r w:rsidRPr="00DC6077">
              <w:rPr>
                <w:highlight w:val="yellow"/>
              </w:rPr>
              <w:t xml:space="preserve">Ensure Compliance Evidence column is filled in </w:t>
            </w:r>
            <w:proofErr w:type="gramStart"/>
            <w:r w:rsidRPr="00DC6077">
              <w:rPr>
                <w:highlight w:val="yellow"/>
              </w:rPr>
              <w:t>f</w:t>
            </w:r>
            <w:r>
              <w:rPr>
                <w:highlight w:val="yellow"/>
              </w:rPr>
              <w:t>or each legislation</w:t>
            </w:r>
            <w:proofErr w:type="gramEnd"/>
            <w:r>
              <w:rPr>
                <w:highlight w:val="yellow"/>
              </w:rPr>
              <w:t>, even if not applicable.</w:t>
            </w:r>
          </w:p>
          <w:p w:rsidR="00F244C9" w:rsidRDefault="00F244C9"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2611CF" w:rsidRDefault="002611CF" w:rsidP="00D35723">
            <w:pPr>
              <w:tabs>
                <w:tab w:val="center" w:pos="4513"/>
                <w:tab w:val="left" w:pos="5626"/>
              </w:tabs>
              <w:rPr>
                <w:b/>
              </w:rPr>
            </w:pPr>
            <w:r>
              <w:rPr>
                <w:b/>
              </w:rPr>
              <w:t>Signed (auditor)              G Burnell                                                                                             Date 9/10/17</w:t>
            </w:r>
          </w:p>
          <w:p w:rsidR="006E0C65" w:rsidRPr="006E0C65" w:rsidRDefault="006E0C65" w:rsidP="00D35723">
            <w:pPr>
              <w:tabs>
                <w:tab w:val="center" w:pos="4513"/>
                <w:tab w:val="left" w:pos="5626"/>
              </w:tabs>
              <w:rPr>
                <w:b/>
              </w:rPr>
            </w:pPr>
            <w:r>
              <w:rPr>
                <w:b/>
              </w:rPr>
              <w:t>Signed (auditee</w:t>
            </w:r>
            <w:r w:rsidRPr="004A0788">
              <w:rPr>
                <w:b/>
                <w:color w:val="17365D" w:themeColor="text2" w:themeShade="BF"/>
              </w:rPr>
              <w:t xml:space="preserve">)              </w:t>
            </w:r>
            <w:r w:rsidR="004A0788" w:rsidRPr="004A0788">
              <w:rPr>
                <w:b/>
                <w:color w:val="17365D" w:themeColor="text2" w:themeShade="BF"/>
              </w:rPr>
              <w:t>A Pickett</w:t>
            </w:r>
            <w:r w:rsidRPr="004A0788">
              <w:rPr>
                <w:b/>
                <w:color w:val="17365D" w:themeColor="text2" w:themeShade="BF"/>
              </w:rPr>
              <w:t xml:space="preserve">                                                                                            </w:t>
            </w:r>
            <w:r>
              <w:rPr>
                <w:b/>
              </w:rPr>
              <w:t>Date</w:t>
            </w:r>
            <w:r w:rsidR="004A0788">
              <w:rPr>
                <w:b/>
              </w:rPr>
              <w:t xml:space="preserve"> </w:t>
            </w:r>
            <w:r w:rsidR="004A0788" w:rsidRPr="004A0788">
              <w:rPr>
                <w:b/>
                <w:color w:val="17365D" w:themeColor="text2" w:themeShade="BF"/>
              </w:rPr>
              <w:t>31/10/17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48126D">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48126D">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434B06" w:rsidRDefault="00434B06"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48126D">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4A0788" w:rsidRPr="004A0788" w:rsidRDefault="004A0788" w:rsidP="00D35723">
            <w:pPr>
              <w:tabs>
                <w:tab w:val="center" w:pos="4513"/>
                <w:tab w:val="left" w:pos="5626"/>
              </w:tabs>
            </w:pPr>
            <w:r w:rsidRPr="004A0788">
              <w:t>The</w:t>
            </w:r>
            <w:r>
              <w:rPr>
                <w:b/>
              </w:rPr>
              <w:t xml:space="preserve"> </w:t>
            </w:r>
            <w:r w:rsidRPr="004A0788">
              <w:rPr>
                <w:b/>
              </w:rPr>
              <w:t>TDL - Applicable Legislation Requirements Combined</w:t>
            </w:r>
            <w:r>
              <w:rPr>
                <w:b/>
              </w:rPr>
              <w:t xml:space="preserve"> </w:t>
            </w:r>
            <w:r>
              <w:t>document has been reviewed and updated to ensure all columns are completed, and all Compliance Evidence is still relevant and accurate.  The document has been raised to Issue V1.1 dated 31</w:t>
            </w:r>
            <w:r w:rsidRPr="004A0788">
              <w:rPr>
                <w:vertAlign w:val="superscript"/>
              </w:rPr>
              <w:t>st</w:t>
            </w:r>
            <w:r>
              <w:t xml:space="preserve"> October, and a copy will be emailed to you with this signed report. </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4A0788">
            <w:pPr>
              <w:tabs>
                <w:tab w:val="center" w:pos="4513"/>
                <w:tab w:val="left" w:pos="5626"/>
              </w:tabs>
              <w:rPr>
                <w:b/>
              </w:rPr>
            </w:pPr>
            <w:r>
              <w:rPr>
                <w:b/>
              </w:rPr>
              <w:t>Signed (process owner</w:t>
            </w:r>
            <w:r w:rsidRPr="004A0788">
              <w:rPr>
                <w:b/>
                <w:color w:val="17365D" w:themeColor="text2" w:themeShade="BF"/>
              </w:rPr>
              <w:t xml:space="preserve">)       </w:t>
            </w:r>
            <w:r w:rsidR="004A0788" w:rsidRPr="004A0788">
              <w:rPr>
                <w:b/>
                <w:color w:val="17365D" w:themeColor="text2" w:themeShade="BF"/>
              </w:rPr>
              <w:t>A Pickett, A Kinnin</w:t>
            </w:r>
            <w:r>
              <w:rPr>
                <w:b/>
              </w:rPr>
              <w:t xml:space="preserve">                                                     Date</w:t>
            </w:r>
            <w:r w:rsidR="004A0788">
              <w:rPr>
                <w:b/>
              </w:rPr>
              <w:t xml:space="preserve"> </w:t>
            </w:r>
            <w:bookmarkStart w:id="0" w:name="_GoBack"/>
            <w:r w:rsidR="004A0788" w:rsidRPr="004A0788">
              <w:rPr>
                <w:b/>
                <w:color w:val="17365D" w:themeColor="text2" w:themeShade="BF"/>
              </w:rPr>
              <w:t>31/10/17</w:t>
            </w:r>
            <w:bookmarkEnd w:id="0"/>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9D21AF" w:rsidRPr="00D05F54">
                <w:rPr>
                  <w:b/>
                  <w:sz w:val="24"/>
                </w:rPr>
                <w:fldChar w:fldCharType="begin"/>
              </w:r>
              <w:r w:rsidRPr="00D05F54">
                <w:rPr>
                  <w:b/>
                  <w:sz w:val="24"/>
                </w:rPr>
                <w:instrText xml:space="preserve"> PAGE </w:instrText>
              </w:r>
              <w:r w:rsidR="009D21AF" w:rsidRPr="00D05F54">
                <w:rPr>
                  <w:b/>
                  <w:sz w:val="24"/>
                </w:rPr>
                <w:fldChar w:fldCharType="separate"/>
              </w:r>
              <w:r w:rsidR="004A0788">
                <w:rPr>
                  <w:b/>
                  <w:noProof/>
                  <w:sz w:val="24"/>
                </w:rPr>
                <w:t>4</w:t>
              </w:r>
              <w:r w:rsidR="009D21AF" w:rsidRPr="00D05F54">
                <w:rPr>
                  <w:b/>
                  <w:sz w:val="24"/>
                </w:rPr>
                <w:fldChar w:fldCharType="end"/>
              </w:r>
              <w:r w:rsidRPr="00D05F54">
                <w:rPr>
                  <w:b/>
                  <w:sz w:val="24"/>
                </w:rPr>
                <w:t xml:space="preserve"> of </w:t>
              </w:r>
              <w:r w:rsidR="009D21AF" w:rsidRPr="00D05F54">
                <w:rPr>
                  <w:b/>
                  <w:sz w:val="24"/>
                </w:rPr>
                <w:fldChar w:fldCharType="begin"/>
              </w:r>
              <w:r w:rsidRPr="00D05F54">
                <w:rPr>
                  <w:b/>
                  <w:sz w:val="24"/>
                </w:rPr>
                <w:instrText xml:space="preserve"> NUMPAGES  </w:instrText>
              </w:r>
              <w:r w:rsidR="009D21AF" w:rsidRPr="00D05F54">
                <w:rPr>
                  <w:b/>
                  <w:sz w:val="24"/>
                </w:rPr>
                <w:fldChar w:fldCharType="separate"/>
              </w:r>
              <w:r w:rsidR="004A0788">
                <w:rPr>
                  <w:b/>
                  <w:noProof/>
                  <w:sz w:val="24"/>
                </w:rPr>
                <w:t>4</w:t>
              </w:r>
              <w:r w:rsidR="009D21AF"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17A0"/>
    <w:multiLevelType w:val="hybridMultilevel"/>
    <w:tmpl w:val="058ADDC0"/>
    <w:lvl w:ilvl="0" w:tplc="E1003AE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8A830B6"/>
    <w:multiLevelType w:val="hybridMultilevel"/>
    <w:tmpl w:val="3AFC56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2D47C1B"/>
    <w:multiLevelType w:val="hybridMultilevel"/>
    <w:tmpl w:val="92E62B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B6537"/>
    <w:rsid w:val="000F1ED6"/>
    <w:rsid w:val="001207D8"/>
    <w:rsid w:val="001529ED"/>
    <w:rsid w:val="001A1135"/>
    <w:rsid w:val="001A14D6"/>
    <w:rsid w:val="001C28E0"/>
    <w:rsid w:val="001C3DD9"/>
    <w:rsid w:val="00223263"/>
    <w:rsid w:val="002611CF"/>
    <w:rsid w:val="002718E8"/>
    <w:rsid w:val="002747DE"/>
    <w:rsid w:val="0028684E"/>
    <w:rsid w:val="002B0014"/>
    <w:rsid w:val="002C6843"/>
    <w:rsid w:val="002E784E"/>
    <w:rsid w:val="0034506C"/>
    <w:rsid w:val="00381138"/>
    <w:rsid w:val="003913D3"/>
    <w:rsid w:val="003B2DB6"/>
    <w:rsid w:val="003D6B7A"/>
    <w:rsid w:val="00405813"/>
    <w:rsid w:val="00434B06"/>
    <w:rsid w:val="00436D98"/>
    <w:rsid w:val="004403B8"/>
    <w:rsid w:val="004459FB"/>
    <w:rsid w:val="004769FF"/>
    <w:rsid w:val="0048126D"/>
    <w:rsid w:val="004A0788"/>
    <w:rsid w:val="004A0F70"/>
    <w:rsid w:val="004D5556"/>
    <w:rsid w:val="00516955"/>
    <w:rsid w:val="00562E66"/>
    <w:rsid w:val="005C4C8A"/>
    <w:rsid w:val="005D700E"/>
    <w:rsid w:val="005E3F5A"/>
    <w:rsid w:val="006145AB"/>
    <w:rsid w:val="006307C9"/>
    <w:rsid w:val="00633FC8"/>
    <w:rsid w:val="00666281"/>
    <w:rsid w:val="006D437E"/>
    <w:rsid w:val="006E0C65"/>
    <w:rsid w:val="006F6A8D"/>
    <w:rsid w:val="006F7C86"/>
    <w:rsid w:val="00700223"/>
    <w:rsid w:val="007E39FC"/>
    <w:rsid w:val="00850B1B"/>
    <w:rsid w:val="008C1897"/>
    <w:rsid w:val="008C6243"/>
    <w:rsid w:val="008F5786"/>
    <w:rsid w:val="00933D4B"/>
    <w:rsid w:val="009630FD"/>
    <w:rsid w:val="009A08C2"/>
    <w:rsid w:val="009B4D19"/>
    <w:rsid w:val="009B7F65"/>
    <w:rsid w:val="009D21AF"/>
    <w:rsid w:val="009E41BC"/>
    <w:rsid w:val="009F4C40"/>
    <w:rsid w:val="00A34515"/>
    <w:rsid w:val="00A904D8"/>
    <w:rsid w:val="00A93292"/>
    <w:rsid w:val="00AA3ECB"/>
    <w:rsid w:val="00AC6799"/>
    <w:rsid w:val="00AE4DB8"/>
    <w:rsid w:val="00B11078"/>
    <w:rsid w:val="00B251A4"/>
    <w:rsid w:val="00B26696"/>
    <w:rsid w:val="00BA5C5C"/>
    <w:rsid w:val="00BD7BD9"/>
    <w:rsid w:val="00BF30AF"/>
    <w:rsid w:val="00C116ED"/>
    <w:rsid w:val="00C72168"/>
    <w:rsid w:val="00C91D3E"/>
    <w:rsid w:val="00CF47F8"/>
    <w:rsid w:val="00D05F54"/>
    <w:rsid w:val="00D137B6"/>
    <w:rsid w:val="00D35723"/>
    <w:rsid w:val="00DA5787"/>
    <w:rsid w:val="00DC4999"/>
    <w:rsid w:val="00E62B02"/>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44</cp:revision>
  <dcterms:created xsi:type="dcterms:W3CDTF">2014-07-09T11:48:00Z</dcterms:created>
  <dcterms:modified xsi:type="dcterms:W3CDTF">2017-11-05T19:09:00Z</dcterms:modified>
</cp:coreProperties>
</file>