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C66DE7">
              <w:rPr>
                <w:b/>
              </w:rPr>
              <w:t>10-10-2017-014</w:t>
            </w:r>
            <w:r w:rsidR="00562E66">
              <w:rPr>
                <w:b/>
              </w:rPr>
              <w:t xml:space="preserve"> </w:t>
            </w:r>
            <w:r w:rsidR="00921B10">
              <w:rPr>
                <w:b/>
              </w:rPr>
              <w:t>ISMS Annex A</w:t>
            </w:r>
          </w:p>
        </w:tc>
      </w:tr>
    </w:tbl>
    <w:p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562E66" w:rsidRDefault="00562E66" w:rsidP="00562E66">
            <w:pPr>
              <w:tabs>
                <w:tab w:val="center" w:pos="4513"/>
                <w:tab w:val="left" w:pos="5626"/>
              </w:tabs>
              <w:rPr>
                <w:b/>
              </w:rPr>
            </w:pPr>
            <w:r>
              <w:rPr>
                <w:b/>
              </w:rPr>
              <w:t xml:space="preserve">Auditor(s) </w:t>
            </w:r>
            <w:r w:rsidRPr="00123B36">
              <w:t>G Burnell, ISO QA Limited</w:t>
            </w:r>
          </w:p>
          <w:p w:rsidR="006E0C65" w:rsidRDefault="00562E66" w:rsidP="001C28E0">
            <w:pPr>
              <w:tabs>
                <w:tab w:val="center" w:pos="4513"/>
                <w:tab w:val="left" w:pos="5626"/>
              </w:tabs>
              <w:rPr>
                <w:b/>
              </w:rPr>
            </w:pPr>
            <w:r>
              <w:rPr>
                <w:b/>
              </w:rPr>
              <w:t xml:space="preserve">Auditee(s) </w:t>
            </w:r>
            <w:r w:rsidR="0037700C" w:rsidRPr="0037700C">
              <w:t>Alison Pickett (AP)</w:t>
            </w:r>
          </w:p>
        </w:tc>
        <w:tc>
          <w:tcPr>
            <w:tcW w:w="4843" w:type="dxa"/>
          </w:tcPr>
          <w:p w:rsidR="00562E66" w:rsidRPr="0037700C" w:rsidRDefault="00562E66" w:rsidP="0037700C">
            <w:r>
              <w:rPr>
                <w:b/>
              </w:rPr>
              <w:t xml:space="preserve">Audit Date </w:t>
            </w:r>
            <w:r w:rsidR="0037700C">
              <w:t>10</w:t>
            </w:r>
            <w:r w:rsidR="0037700C" w:rsidRPr="0037700C">
              <w:rPr>
                <w:vertAlign w:val="superscript"/>
              </w:rPr>
              <w:t>th</w:t>
            </w:r>
            <w:r w:rsidR="0037700C">
              <w:t xml:space="preserve"> October 2017 </w:t>
            </w:r>
          </w:p>
          <w:p w:rsidR="006E0C65" w:rsidRDefault="00562E66" w:rsidP="001C28E0">
            <w:pPr>
              <w:tabs>
                <w:tab w:val="center" w:pos="4513"/>
                <w:tab w:val="left" w:pos="5626"/>
              </w:tabs>
              <w:rPr>
                <w:b/>
              </w:rPr>
            </w:pPr>
            <w:r>
              <w:rPr>
                <w:b/>
              </w:rPr>
              <w:t xml:space="preserve">Audit Times </w:t>
            </w:r>
            <w:r w:rsidR="0037700C">
              <w:t>14:35-15:30</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6E0C65" w:rsidRDefault="006E0C65" w:rsidP="00D137B6">
            <w:pPr>
              <w:tabs>
                <w:tab w:val="center" w:pos="4513"/>
                <w:tab w:val="left" w:pos="5626"/>
              </w:tabs>
              <w:rPr>
                <w:b/>
              </w:rPr>
            </w:pPr>
            <w:r>
              <w:rPr>
                <w:b/>
              </w:rPr>
              <w:t>Distribution</w:t>
            </w:r>
            <w:r w:rsidR="001C3DD9">
              <w:rPr>
                <w:b/>
              </w:rPr>
              <w:t xml:space="preserve"> </w:t>
            </w:r>
          </w:p>
        </w:tc>
        <w:tc>
          <w:tcPr>
            <w:tcW w:w="4843" w:type="dxa"/>
          </w:tcPr>
          <w:p w:rsidR="00F244C9" w:rsidRDefault="00F244C9" w:rsidP="00F244C9">
            <w:pPr>
              <w:tabs>
                <w:tab w:val="center" w:pos="4513"/>
                <w:tab w:val="left" w:pos="5626"/>
              </w:tabs>
              <w:rPr>
                <w:b/>
              </w:rPr>
            </w:pPr>
            <w:r>
              <w:rPr>
                <w:b/>
              </w:rPr>
              <w:t>A Pickett</w:t>
            </w:r>
          </w:p>
          <w:p w:rsidR="008F5786" w:rsidRDefault="00F244C9" w:rsidP="00D35723">
            <w:pPr>
              <w:tabs>
                <w:tab w:val="center" w:pos="4513"/>
                <w:tab w:val="left" w:pos="5626"/>
              </w:tabs>
              <w:rPr>
                <w:b/>
              </w:rPr>
            </w:pPr>
            <w:r>
              <w:rPr>
                <w:b/>
              </w:rPr>
              <w:t>A Kinnin</w:t>
            </w:r>
          </w:p>
        </w:tc>
      </w:tr>
    </w:tbl>
    <w:p w:rsidR="006E0C65" w:rsidRDefault="006E0C65" w:rsidP="00D35723">
      <w:pPr>
        <w:tabs>
          <w:tab w:val="center" w:pos="4513"/>
          <w:tab w:val="left" w:pos="5626"/>
        </w:tabs>
        <w:spacing w:after="0"/>
        <w:rPr>
          <w:b/>
        </w:rPr>
      </w:pPr>
    </w:p>
    <w:p w:rsidR="00A904D8" w:rsidRDefault="00A904D8" w:rsidP="00A904D8">
      <w:pPr>
        <w:spacing w:after="0"/>
        <w:rPr>
          <w:b/>
        </w:rPr>
      </w:pPr>
      <w:r>
        <w:rPr>
          <w:b/>
        </w:rPr>
        <w:t>Audit Criteria:</w:t>
      </w:r>
    </w:p>
    <w:p w:rsidR="00A904D8" w:rsidRPr="00B11078" w:rsidRDefault="00A904D8" w:rsidP="00A904D8">
      <w:pPr>
        <w:spacing w:after="0"/>
      </w:pPr>
      <w:r w:rsidRPr="00214EA8">
        <w:rPr>
          <w:highlight w:val="green"/>
        </w:rPr>
        <w:t>Passed: - The processes and procedures are conforming to requirements</w:t>
      </w:r>
    </w:p>
    <w:p w:rsidR="00A904D8" w:rsidRPr="00B11078" w:rsidRDefault="00A904D8" w:rsidP="00A904D8">
      <w:pPr>
        <w:spacing w:after="0"/>
      </w:pPr>
      <w:r w:rsidRPr="00214EA8">
        <w:rPr>
          <w:highlight w:val="yellow"/>
        </w:rPr>
        <w:t>OFI: - The processes and procedures are conforming to requirements but improvements could be made.</w:t>
      </w:r>
    </w:p>
    <w:p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rsidR="00A904D8" w:rsidRDefault="00A904D8" w:rsidP="00A904D8">
      <w:pPr>
        <w:tabs>
          <w:tab w:val="center" w:pos="4513"/>
          <w:tab w:val="left" w:pos="5626"/>
        </w:tabs>
        <w:spacing w:after="0"/>
        <w:rPr>
          <w:b/>
        </w:rPr>
      </w:pPr>
    </w:p>
    <w:p w:rsidR="00A904D8" w:rsidRDefault="00A904D8" w:rsidP="00A904D8">
      <w:pPr>
        <w:spacing w:after="0"/>
        <w:rPr>
          <w:b/>
        </w:rPr>
      </w:pPr>
      <w:r>
        <w:rPr>
          <w:b/>
        </w:rPr>
        <w:t>Frequency of audit:</w:t>
      </w:r>
    </w:p>
    <w:p w:rsidR="00A904D8" w:rsidRDefault="00A904D8" w:rsidP="00A904D8">
      <w:pPr>
        <w:spacing w:after="0"/>
      </w:pPr>
      <w:r w:rsidRPr="001608C0">
        <w:t>Audits are carried out at planned intervals as detailed in the audit plan and shall reflect previous audit results and the importance of processes.</w:t>
      </w:r>
    </w:p>
    <w:p w:rsidR="00A904D8" w:rsidRDefault="00A904D8" w:rsidP="00A904D8">
      <w:pPr>
        <w:tabs>
          <w:tab w:val="center" w:pos="4513"/>
          <w:tab w:val="left" w:pos="5626"/>
        </w:tabs>
        <w:spacing w:after="0"/>
        <w:rPr>
          <w:b/>
        </w:rPr>
      </w:pPr>
    </w:p>
    <w:p w:rsidR="00A904D8" w:rsidRPr="001608C0" w:rsidRDefault="00A904D8" w:rsidP="00A904D8">
      <w:pPr>
        <w:spacing w:after="0"/>
      </w:pPr>
      <w:r w:rsidRPr="006E32E4">
        <w:rPr>
          <w:b/>
        </w:rPr>
        <w:t>Audit methods:</w:t>
      </w:r>
    </w:p>
    <w:p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rsidR="006E0C65" w:rsidRDefault="006E0C65" w:rsidP="00D35723">
      <w:pPr>
        <w:tabs>
          <w:tab w:val="center" w:pos="4513"/>
          <w:tab w:val="left" w:pos="5626"/>
        </w:tabs>
        <w:spacing w:after="0"/>
        <w:rPr>
          <w:b/>
        </w:rPr>
      </w:pPr>
    </w:p>
    <w:p w:rsidR="006E0C65" w:rsidRDefault="006E0C65" w:rsidP="006E0C65">
      <w:pPr>
        <w:spacing w:after="0"/>
        <w:rPr>
          <w:b/>
        </w:rPr>
      </w:pPr>
    </w:p>
    <w:p w:rsidR="006E0C65" w:rsidRDefault="006E0C65" w:rsidP="006E0C65">
      <w:pPr>
        <w:spacing w:after="0"/>
        <w:rPr>
          <w:b/>
        </w:rPr>
      </w:pPr>
      <w:r>
        <w:rPr>
          <w:b/>
        </w:rPr>
        <w:lastRenderedPageBreak/>
        <w:t>Introduction</w:t>
      </w:r>
    </w:p>
    <w:p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 xml:space="preserve">ISO 27001:2013 and </w:t>
      </w:r>
      <w:r w:rsidRPr="00FB3B23">
        <w:t xml:space="preserve">ISO </w:t>
      </w:r>
      <w:r>
        <w:t>14001:2015</w:t>
      </w:r>
      <w:r w:rsidRPr="00FB3B23">
        <w:t>. This will ensure that any non-conformances (major or minor) are dealt with accordingly and preventive actions are put in place. The organisation also requires feedback on opportunities for improvement.</w:t>
      </w:r>
    </w:p>
    <w:p w:rsidR="006E0C65" w:rsidRPr="00FB3B23" w:rsidRDefault="006E0C65" w:rsidP="006E0C65">
      <w:pPr>
        <w:spacing w:after="0"/>
      </w:pPr>
    </w:p>
    <w:p w:rsidR="006E0C65" w:rsidRPr="00FB3B23" w:rsidRDefault="006E0C65" w:rsidP="006E0C65">
      <w:pPr>
        <w:spacing w:after="0"/>
        <w:rPr>
          <w:b/>
        </w:rPr>
      </w:pPr>
      <w:r w:rsidRPr="00FB3B23">
        <w:rPr>
          <w:b/>
        </w:rPr>
        <w:t>Scope</w:t>
      </w:r>
    </w:p>
    <w:p w:rsidR="00F244C9" w:rsidRDefault="001C28E0" w:rsidP="00F244C9">
      <w:pPr>
        <w:spacing w:after="0"/>
      </w:pPr>
      <w:r>
        <w:t xml:space="preserve">The audit reviewed </w:t>
      </w:r>
      <w:r w:rsidR="0037700C">
        <w:t>policies (A.5), organisation of information security (A.6), and the Group IT Policy.</w:t>
      </w:r>
    </w:p>
    <w:p w:rsidR="006E0C65" w:rsidRDefault="006E0C65" w:rsidP="006E0C65">
      <w:pPr>
        <w:spacing w:after="0"/>
      </w:pPr>
    </w:p>
    <w:p w:rsidR="00D137B6" w:rsidRDefault="00D137B6"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Pr>
                <w:b/>
              </w:rPr>
              <w:t>Documentation reviewed during audit</w:t>
            </w:r>
          </w:p>
          <w:p w:rsidR="00E475B2" w:rsidRDefault="00E475B2" w:rsidP="00E475B2">
            <w:r>
              <w:t>See details in the report below</w:t>
            </w:r>
          </w:p>
          <w:p w:rsidR="00D137B6" w:rsidRPr="006E0C65" w:rsidRDefault="00D137B6" w:rsidP="00D137B6"/>
        </w:tc>
      </w:tr>
    </w:tbl>
    <w:p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sidRPr="006E0C65">
              <w:rPr>
                <w:b/>
              </w:rPr>
              <w:t>Details of audit and samples taken</w:t>
            </w:r>
          </w:p>
          <w:p w:rsidR="00562E66" w:rsidRDefault="00562E66" w:rsidP="00562E66">
            <w:pPr>
              <w:rPr>
                <w:b/>
              </w:rPr>
            </w:pPr>
          </w:p>
          <w:p w:rsidR="0037700C" w:rsidRDefault="0037700C" w:rsidP="0037700C">
            <w:r>
              <w:t>The following elements of the ISMS were reviewed with Alison Pickett.</w:t>
            </w:r>
          </w:p>
          <w:p w:rsidR="0037700C" w:rsidRDefault="0037700C" w:rsidP="0037700C"/>
          <w:p w:rsidR="0037700C" w:rsidRDefault="0037700C" w:rsidP="0037700C">
            <w:pPr>
              <w:rPr>
                <w:shd w:val="clear" w:color="auto" w:fill="FFFF00"/>
              </w:rPr>
            </w:pPr>
            <w:r>
              <w:t xml:space="preserve">A.5.1.1 – Policies are included as appendices within the Staff Handbook. </w:t>
            </w:r>
            <w:r w:rsidRPr="009F3153">
              <w:rPr>
                <w:b/>
                <w:color w:val="FF0000"/>
              </w:rPr>
              <w:t xml:space="preserve">Appendix T is the Group IT Policy, which was not in the Staff Handbook. AP confirmed that the Handbook is still at draft and is yet to be approved. </w:t>
            </w:r>
            <w:r w:rsidRPr="009F3153">
              <w:rPr>
                <w:shd w:val="clear" w:color="auto" w:fill="FFFF00"/>
              </w:rPr>
              <w:t>The Quality Policy, Environmental Policy, and Information Security Policy need to be included as appendices.</w:t>
            </w:r>
          </w:p>
          <w:p w:rsidR="0037700C" w:rsidRDefault="0037700C" w:rsidP="0037700C">
            <w:r w:rsidRPr="000C02A7">
              <w:t xml:space="preserve">Sections of the Staff Handbook included 8.5 Clear </w:t>
            </w:r>
            <w:proofErr w:type="gramStart"/>
            <w:r w:rsidRPr="000C02A7">
              <w:t>desk</w:t>
            </w:r>
            <w:proofErr w:type="gramEnd"/>
            <w:r w:rsidRPr="000C02A7">
              <w:t xml:space="preserve"> and screen, 8.6 Data protection, and 8.7 Confidential information.</w:t>
            </w:r>
          </w:p>
          <w:p w:rsidR="0037700C" w:rsidRDefault="0037700C" w:rsidP="0037700C"/>
          <w:p w:rsidR="0037700C" w:rsidRDefault="0037700C" w:rsidP="0037700C">
            <w:r>
              <w:t>A.5.1.2 – Part of the management review is to conduct a document control review which includes the policies register.</w:t>
            </w:r>
          </w:p>
          <w:p w:rsidR="0037700C" w:rsidRDefault="0037700C" w:rsidP="0037700C"/>
          <w:p w:rsidR="0037700C" w:rsidRDefault="0037700C" w:rsidP="0037700C">
            <w:r>
              <w:t xml:space="preserve">A.6.1.1 – </w:t>
            </w:r>
            <w:r w:rsidRPr="000C02A7">
              <w:rPr>
                <w:highlight w:val="cyan"/>
              </w:rPr>
              <w:t>The S of A states that duties and responsibilities are in job descriptions. This is not the case for the ISMS, and AP explained that Job Titles will be added to the Training Matrix, which will link with relevant policies and processes.</w:t>
            </w:r>
          </w:p>
          <w:p w:rsidR="0037700C" w:rsidRDefault="0037700C" w:rsidP="0037700C"/>
          <w:p w:rsidR="0037700C" w:rsidRDefault="0037700C" w:rsidP="0037700C">
            <w:r>
              <w:t xml:space="preserve">A.6.1.3 – </w:t>
            </w:r>
            <w:r w:rsidRPr="000C02A7">
              <w:rPr>
                <w:highlight w:val="cyan"/>
              </w:rPr>
              <w:t>Contact with authorities is not detailed in the RA&amp;TP.</w:t>
            </w:r>
            <w:r>
              <w:t xml:space="preserve"> </w:t>
            </w:r>
          </w:p>
          <w:p w:rsidR="0037700C" w:rsidRDefault="0037700C" w:rsidP="0037700C">
            <w:r>
              <w:t>Contact with IOM Government and DED for road updates, infrastructure information, and legal changes, is frequent (at least monthly).</w:t>
            </w:r>
          </w:p>
          <w:p w:rsidR="0037700C" w:rsidRDefault="0037700C" w:rsidP="0037700C"/>
          <w:p w:rsidR="0037700C" w:rsidRDefault="0037700C" w:rsidP="0037700C">
            <w:r>
              <w:t>A.6.1.4 – The ISO Forum meets every 3 months, with information recorded and sent to the attendees. Other contacts with special interested groups include ISO QA and ISO certification bodies.</w:t>
            </w:r>
          </w:p>
          <w:p w:rsidR="0037700C" w:rsidRDefault="0037700C" w:rsidP="0037700C">
            <w:r w:rsidRPr="00E16FF1">
              <w:rPr>
                <w:highlight w:val="yellow"/>
              </w:rPr>
              <w:lastRenderedPageBreak/>
              <w:t>It may be beneficial for AP to regularly review the ISO website, as updates on ISO standards and news articles are available to the public.</w:t>
            </w:r>
          </w:p>
          <w:p w:rsidR="0037700C" w:rsidRDefault="0037700C" w:rsidP="0037700C"/>
          <w:p w:rsidR="0037700C" w:rsidRDefault="0037700C" w:rsidP="0037700C">
            <w:r>
              <w:t>A.6.1.5 – The RA&amp;TP includes risk number R27, which is yet to be completed. This is for the new R2C which includes risks associated with portable, handheld devices.</w:t>
            </w:r>
          </w:p>
          <w:p w:rsidR="0037700C" w:rsidRDefault="0037700C" w:rsidP="0037700C"/>
          <w:p w:rsidR="0037700C" w:rsidRPr="00D87F46" w:rsidRDefault="0037700C" w:rsidP="0037700C">
            <w:pPr>
              <w:rPr>
                <w:u w:val="single"/>
              </w:rPr>
            </w:pPr>
            <w:r w:rsidRPr="00D87F46">
              <w:rPr>
                <w:u w:val="single"/>
              </w:rPr>
              <w:t>Group IT Policy</w:t>
            </w:r>
          </w:p>
          <w:p w:rsidR="0037700C" w:rsidRDefault="0037700C" w:rsidP="0037700C">
            <w:pPr>
              <w:rPr>
                <w:b/>
                <w:color w:val="FF0000"/>
              </w:rPr>
            </w:pPr>
            <w:r>
              <w:t>This is mentioned throughout the S of A, and was presented to the auditor for review</w:t>
            </w:r>
            <w:r w:rsidR="00194D4D">
              <w:t>:</w:t>
            </w:r>
            <w:r>
              <w:t xml:space="preserve"> </w:t>
            </w:r>
          </w:p>
          <w:p w:rsidR="00194D4D" w:rsidRDefault="00194D4D" w:rsidP="00194D4D">
            <w:pPr>
              <w:pStyle w:val="ListParagraph"/>
              <w:numPr>
                <w:ilvl w:val="0"/>
                <w:numId w:val="4"/>
              </w:numPr>
              <w:spacing w:after="0" w:line="240" w:lineRule="auto"/>
            </w:pPr>
            <w:r w:rsidRPr="00194D4D">
              <w:t xml:space="preserve">A.6.2.1 Mobile devices </w:t>
            </w:r>
            <w:r>
              <w:t>–</w:t>
            </w:r>
            <w:r w:rsidRPr="00194D4D">
              <w:t xml:space="preserve"> </w:t>
            </w:r>
            <w:r w:rsidR="00704861">
              <w:t>“Laptops and tablets”, “External drives”, “Wearable technology”</w:t>
            </w:r>
          </w:p>
          <w:p w:rsidR="00194D4D" w:rsidRDefault="00194D4D" w:rsidP="00194D4D">
            <w:pPr>
              <w:pStyle w:val="ListParagraph"/>
              <w:numPr>
                <w:ilvl w:val="0"/>
                <w:numId w:val="4"/>
              </w:numPr>
              <w:spacing w:after="0" w:line="240" w:lineRule="auto"/>
            </w:pPr>
            <w:r>
              <w:t xml:space="preserve">A.6.2.2 Teleworking </w:t>
            </w:r>
            <w:r w:rsidR="00A81902">
              <w:t>–</w:t>
            </w:r>
            <w:r>
              <w:t xml:space="preserve"> </w:t>
            </w:r>
            <w:r w:rsidR="00704861">
              <w:t>“Laptops and tablets”</w:t>
            </w:r>
          </w:p>
          <w:p w:rsidR="00A81902" w:rsidRDefault="00A81902" w:rsidP="00194D4D">
            <w:pPr>
              <w:pStyle w:val="ListParagraph"/>
              <w:numPr>
                <w:ilvl w:val="0"/>
                <w:numId w:val="4"/>
              </w:numPr>
              <w:spacing w:after="0" w:line="240" w:lineRule="auto"/>
            </w:pPr>
            <w:r>
              <w:t xml:space="preserve">A.8.1.1 Inventory of Assets – </w:t>
            </w:r>
            <w:r w:rsidR="00704861">
              <w:t>“Inventory of assets”</w:t>
            </w:r>
          </w:p>
          <w:p w:rsidR="00A81902" w:rsidRDefault="00A81902" w:rsidP="00194D4D">
            <w:pPr>
              <w:pStyle w:val="ListParagraph"/>
              <w:numPr>
                <w:ilvl w:val="0"/>
                <w:numId w:val="4"/>
              </w:numPr>
              <w:spacing w:after="0" w:line="240" w:lineRule="auto"/>
            </w:pPr>
            <w:r>
              <w:t xml:space="preserve">A.8.1.3 Acceptable use of Assets – </w:t>
            </w:r>
            <w:r w:rsidR="00704861">
              <w:t>throughout the Policy</w:t>
            </w:r>
          </w:p>
          <w:p w:rsidR="00A81902" w:rsidRDefault="00A81902" w:rsidP="00194D4D">
            <w:pPr>
              <w:pStyle w:val="ListParagraph"/>
              <w:numPr>
                <w:ilvl w:val="0"/>
                <w:numId w:val="4"/>
              </w:numPr>
              <w:spacing w:after="0" w:line="240" w:lineRule="auto"/>
            </w:pPr>
            <w:r>
              <w:t xml:space="preserve">A.8.1.4 Return of assets – </w:t>
            </w:r>
            <w:r w:rsidR="00704861">
              <w:t>“Inventory of assets”</w:t>
            </w:r>
          </w:p>
          <w:p w:rsidR="00A81902" w:rsidRDefault="00A81902" w:rsidP="00194D4D">
            <w:pPr>
              <w:pStyle w:val="ListParagraph"/>
              <w:numPr>
                <w:ilvl w:val="0"/>
                <w:numId w:val="4"/>
              </w:numPr>
              <w:spacing w:after="0" w:line="240" w:lineRule="auto"/>
            </w:pPr>
            <w:r>
              <w:t xml:space="preserve">A.8.3.1 Management of removable media – </w:t>
            </w:r>
            <w:r w:rsidR="00704861">
              <w:t>“External drives”</w:t>
            </w:r>
          </w:p>
          <w:p w:rsidR="00A81902" w:rsidRDefault="00A81902" w:rsidP="00194D4D">
            <w:pPr>
              <w:pStyle w:val="ListParagraph"/>
              <w:numPr>
                <w:ilvl w:val="0"/>
                <w:numId w:val="4"/>
              </w:numPr>
              <w:spacing w:after="0" w:line="240" w:lineRule="auto"/>
            </w:pPr>
            <w:r>
              <w:t xml:space="preserve">A.9.1.2 Access to networks and network services (password management and controls, computer security) – </w:t>
            </w:r>
            <w:r w:rsidR="00C82EC3">
              <w:t>Changed every month; at least 6 characters long; use letters and numbers; do not share passwords.</w:t>
            </w:r>
          </w:p>
          <w:p w:rsidR="00A81902" w:rsidRPr="00A81902" w:rsidRDefault="00A81902" w:rsidP="00194D4D">
            <w:pPr>
              <w:pStyle w:val="ListParagraph"/>
              <w:numPr>
                <w:ilvl w:val="0"/>
                <w:numId w:val="4"/>
              </w:numPr>
              <w:spacing w:after="0" w:line="240" w:lineRule="auto"/>
            </w:pPr>
            <w:r>
              <w:t xml:space="preserve">A.9.2.4 </w:t>
            </w:r>
            <w:r w:rsidRPr="00A81902">
              <w:rPr>
                <w:szCs w:val="20"/>
              </w:rPr>
              <w:t>Management of secret authentication information of users</w:t>
            </w:r>
            <w:r>
              <w:rPr>
                <w:szCs w:val="20"/>
              </w:rPr>
              <w:t xml:space="preserve"> – </w:t>
            </w:r>
            <w:r w:rsidR="00C82EC3">
              <w:rPr>
                <w:szCs w:val="20"/>
              </w:rPr>
              <w:t>See A.9.1.2 above)</w:t>
            </w:r>
          </w:p>
          <w:p w:rsidR="00A81902" w:rsidRDefault="00A81902" w:rsidP="00194D4D">
            <w:pPr>
              <w:pStyle w:val="ListParagraph"/>
              <w:numPr>
                <w:ilvl w:val="0"/>
                <w:numId w:val="4"/>
              </w:numPr>
              <w:spacing w:after="0" w:line="240" w:lineRule="auto"/>
            </w:pPr>
            <w:r>
              <w:t xml:space="preserve">A.9.4.3 Password management system – </w:t>
            </w:r>
            <w:r w:rsidR="00C82EC3">
              <w:rPr>
                <w:szCs w:val="20"/>
              </w:rPr>
              <w:t>See A.9.1.2 above)</w:t>
            </w:r>
          </w:p>
          <w:p w:rsidR="00A81902" w:rsidRDefault="00A81902" w:rsidP="00194D4D">
            <w:pPr>
              <w:pStyle w:val="ListParagraph"/>
              <w:numPr>
                <w:ilvl w:val="0"/>
                <w:numId w:val="4"/>
              </w:numPr>
              <w:spacing w:after="0" w:line="240" w:lineRule="auto"/>
            </w:pPr>
            <w:r>
              <w:t xml:space="preserve">A.11.2.8 Unattended user equipment – </w:t>
            </w:r>
            <w:r w:rsidR="00C82EC3">
              <w:t>“Computer security”</w:t>
            </w:r>
          </w:p>
          <w:p w:rsidR="00A81902" w:rsidRDefault="00A81902" w:rsidP="00194D4D">
            <w:pPr>
              <w:pStyle w:val="ListParagraph"/>
              <w:numPr>
                <w:ilvl w:val="0"/>
                <w:numId w:val="4"/>
              </w:numPr>
              <w:spacing w:after="0" w:line="240" w:lineRule="auto"/>
            </w:pPr>
            <w:r>
              <w:t xml:space="preserve">A.11.2.9 Clear desk and clear screen policy – </w:t>
            </w:r>
            <w:r w:rsidR="00C82EC3">
              <w:t>“Computer security”</w:t>
            </w:r>
          </w:p>
          <w:p w:rsidR="00A81902" w:rsidRDefault="00A81902" w:rsidP="00194D4D">
            <w:pPr>
              <w:pStyle w:val="ListParagraph"/>
              <w:numPr>
                <w:ilvl w:val="0"/>
                <w:numId w:val="4"/>
              </w:numPr>
              <w:spacing w:after="0" w:line="240" w:lineRule="auto"/>
            </w:pPr>
            <w:r>
              <w:t xml:space="preserve">A.12.5.1 Installation of software on operational systems </w:t>
            </w:r>
            <w:r w:rsidR="00C82EC3">
              <w:t>–</w:t>
            </w:r>
            <w:r>
              <w:t xml:space="preserve"> </w:t>
            </w:r>
            <w:r w:rsidR="00C82EC3">
              <w:t>“Software”</w:t>
            </w:r>
          </w:p>
          <w:p w:rsidR="00A81902" w:rsidRDefault="00A81902" w:rsidP="00194D4D">
            <w:pPr>
              <w:pStyle w:val="ListParagraph"/>
              <w:numPr>
                <w:ilvl w:val="0"/>
                <w:numId w:val="4"/>
              </w:numPr>
              <w:spacing w:after="0" w:line="240" w:lineRule="auto"/>
            </w:pPr>
            <w:r>
              <w:t xml:space="preserve">A.12.6.2 Restrictions on software installation – </w:t>
            </w:r>
            <w:r w:rsidR="00C82EC3">
              <w:t>“Software”</w:t>
            </w:r>
          </w:p>
          <w:p w:rsidR="00A81902" w:rsidRDefault="00A81902" w:rsidP="00194D4D">
            <w:pPr>
              <w:pStyle w:val="ListParagraph"/>
              <w:numPr>
                <w:ilvl w:val="0"/>
                <w:numId w:val="4"/>
              </w:numPr>
              <w:spacing w:after="0" w:line="240" w:lineRule="auto"/>
            </w:pPr>
            <w:r>
              <w:t>A.13.2.1 Information transfer policies and procedures</w:t>
            </w:r>
            <w:r w:rsidR="00C82EC3">
              <w:t xml:space="preserve"> </w:t>
            </w:r>
            <w:r>
              <w:t xml:space="preserve">– </w:t>
            </w:r>
            <w:r w:rsidR="00C82EC3">
              <w:t>“Security and data protection”</w:t>
            </w:r>
          </w:p>
          <w:p w:rsidR="00A81902" w:rsidRDefault="00A81902" w:rsidP="00194D4D">
            <w:pPr>
              <w:pStyle w:val="ListParagraph"/>
              <w:numPr>
                <w:ilvl w:val="0"/>
                <w:numId w:val="4"/>
              </w:numPr>
              <w:spacing w:after="0" w:line="240" w:lineRule="auto"/>
            </w:pPr>
            <w:r>
              <w:t xml:space="preserve">A.13.2.3Electronic messaging – </w:t>
            </w:r>
            <w:r w:rsidR="00C82EC3">
              <w:rPr>
                <w:szCs w:val="20"/>
              </w:rPr>
              <w:t>“</w:t>
            </w:r>
            <w:r w:rsidR="00C82EC3">
              <w:t>Security and data protection”, Email usage”, “Email security”</w:t>
            </w:r>
          </w:p>
          <w:p w:rsidR="00A81902" w:rsidRPr="00A81902" w:rsidRDefault="00A81902" w:rsidP="00194D4D">
            <w:pPr>
              <w:pStyle w:val="ListParagraph"/>
              <w:numPr>
                <w:ilvl w:val="0"/>
                <w:numId w:val="4"/>
              </w:numPr>
              <w:spacing w:after="0" w:line="240" w:lineRule="auto"/>
            </w:pPr>
            <w:r>
              <w:t xml:space="preserve">A.13.2.4 </w:t>
            </w:r>
            <w:r w:rsidRPr="00A81902">
              <w:rPr>
                <w:szCs w:val="20"/>
              </w:rPr>
              <w:t xml:space="preserve">Confidentiality or non-disclosure agreements </w:t>
            </w:r>
            <w:r>
              <w:rPr>
                <w:szCs w:val="20"/>
              </w:rPr>
              <w:t>–</w:t>
            </w:r>
            <w:r w:rsidRPr="00A81902">
              <w:rPr>
                <w:szCs w:val="20"/>
              </w:rPr>
              <w:t xml:space="preserve"> </w:t>
            </w:r>
            <w:r w:rsidR="00C82EC3">
              <w:rPr>
                <w:szCs w:val="20"/>
              </w:rPr>
              <w:t>“</w:t>
            </w:r>
            <w:r w:rsidR="00C82EC3">
              <w:t>Security and data protection”</w:t>
            </w:r>
          </w:p>
          <w:p w:rsidR="00A81902" w:rsidRDefault="00A81902" w:rsidP="00194D4D">
            <w:pPr>
              <w:pStyle w:val="ListParagraph"/>
              <w:numPr>
                <w:ilvl w:val="0"/>
                <w:numId w:val="4"/>
              </w:numPr>
              <w:spacing w:after="0" w:line="240" w:lineRule="auto"/>
            </w:pPr>
            <w:r>
              <w:rPr>
                <w:szCs w:val="20"/>
              </w:rPr>
              <w:t xml:space="preserve">A.16.1.2 </w:t>
            </w:r>
            <w:r w:rsidRPr="00A81902">
              <w:rPr>
                <w:szCs w:val="20"/>
              </w:rPr>
              <w:t xml:space="preserve">Reporting information security events - </w:t>
            </w:r>
            <w:r w:rsidR="00C82EC3">
              <w:t>throughout the Policy</w:t>
            </w:r>
          </w:p>
          <w:p w:rsidR="00C82EC3" w:rsidRPr="00194D4D" w:rsidRDefault="00C82EC3" w:rsidP="00C82EC3"/>
          <w:p w:rsidR="0037700C" w:rsidRDefault="0037700C" w:rsidP="0037700C">
            <w:r>
              <w:t>An ISO meeting was held today with top management to highlight gaps and ensure that the Group IT Policy is distributed to the employees. This is located in a shared folder on the network.</w:t>
            </w:r>
          </w:p>
          <w:p w:rsidR="006E0C65" w:rsidRDefault="006E0C65" w:rsidP="006E0C65"/>
          <w:p w:rsidR="00D137B6" w:rsidRDefault="00D137B6" w:rsidP="006E0C65"/>
          <w:p w:rsidR="00D137B6" w:rsidRDefault="00D137B6" w:rsidP="006E0C65"/>
          <w:p w:rsidR="00D137B6" w:rsidRPr="006E0C65" w:rsidRDefault="00D137B6" w:rsidP="006E0C65"/>
          <w:p w:rsidR="006E0C65" w:rsidRPr="006E0C65" w:rsidRDefault="00D5442B" w:rsidP="006E0C65">
            <w:pPr>
              <w:rPr>
                <w:b/>
              </w:rPr>
            </w:pPr>
            <w:r>
              <w:rPr>
                <w:b/>
              </w:rPr>
              <w:t>Signed (auditor)              G Burnell                                                                                             Date 10/10/17</w:t>
            </w:r>
          </w:p>
        </w:tc>
      </w:tr>
    </w:tbl>
    <w:p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rsidTr="0037700C">
        <w:tc>
          <w:tcPr>
            <w:tcW w:w="2486" w:type="dxa"/>
            <w:shd w:val="clear" w:color="auto" w:fill="auto"/>
          </w:tcPr>
          <w:p w:rsidR="006E0C65" w:rsidRDefault="006E0C65" w:rsidP="00D35723">
            <w:pPr>
              <w:tabs>
                <w:tab w:val="center" w:pos="4513"/>
                <w:tab w:val="left" w:pos="5626"/>
              </w:tabs>
              <w:rPr>
                <w:b/>
              </w:rPr>
            </w:pPr>
            <w:r>
              <w:rPr>
                <w:b/>
              </w:rPr>
              <w:t>Passed</w:t>
            </w:r>
          </w:p>
        </w:tc>
        <w:tc>
          <w:tcPr>
            <w:tcW w:w="2310" w:type="dxa"/>
          </w:tcPr>
          <w:p w:rsidR="006E0C65" w:rsidRDefault="006E0C65" w:rsidP="00D35723">
            <w:pPr>
              <w:tabs>
                <w:tab w:val="center" w:pos="4513"/>
                <w:tab w:val="left" w:pos="5626"/>
              </w:tabs>
              <w:rPr>
                <w:b/>
              </w:rPr>
            </w:pPr>
            <w:r>
              <w:rPr>
                <w:b/>
              </w:rPr>
              <w:t>Major NC</w:t>
            </w:r>
          </w:p>
        </w:tc>
        <w:tc>
          <w:tcPr>
            <w:tcW w:w="2434" w:type="dxa"/>
            <w:shd w:val="clear" w:color="auto" w:fill="00B0F0"/>
          </w:tcPr>
          <w:p w:rsidR="006E0C65" w:rsidRDefault="006E0C65" w:rsidP="00D35723">
            <w:pPr>
              <w:tabs>
                <w:tab w:val="center" w:pos="4513"/>
                <w:tab w:val="left" w:pos="5626"/>
              </w:tabs>
              <w:rPr>
                <w:b/>
              </w:rPr>
            </w:pPr>
            <w:r>
              <w:rPr>
                <w:b/>
              </w:rPr>
              <w:t>Minor NC</w:t>
            </w:r>
            <w:r w:rsidR="0037700C">
              <w:rPr>
                <w:b/>
              </w:rPr>
              <w:t xml:space="preserve">   2</w:t>
            </w:r>
          </w:p>
        </w:tc>
        <w:tc>
          <w:tcPr>
            <w:tcW w:w="2410" w:type="dxa"/>
            <w:shd w:val="clear" w:color="auto" w:fill="FFFF00"/>
          </w:tcPr>
          <w:p w:rsidR="006E0C65" w:rsidRDefault="006E0C65" w:rsidP="00D35723">
            <w:pPr>
              <w:tabs>
                <w:tab w:val="center" w:pos="4513"/>
                <w:tab w:val="left" w:pos="5626"/>
              </w:tabs>
              <w:rPr>
                <w:b/>
              </w:rPr>
            </w:pPr>
            <w:r>
              <w:rPr>
                <w:b/>
              </w:rPr>
              <w:t>O F I</w:t>
            </w:r>
            <w:r w:rsidR="0037700C">
              <w:rPr>
                <w:b/>
              </w:rPr>
              <w:t xml:space="preserve">   2</w:t>
            </w:r>
          </w:p>
        </w:tc>
      </w:tr>
      <w:tr w:rsidR="006E0C65" w:rsidTr="00AE4DB8">
        <w:tc>
          <w:tcPr>
            <w:tcW w:w="9640" w:type="dxa"/>
            <w:gridSpan w:val="4"/>
          </w:tcPr>
          <w:p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rsidR="006E0C65" w:rsidRDefault="006E0C65" w:rsidP="00D35723">
            <w:pPr>
              <w:tabs>
                <w:tab w:val="center" w:pos="4513"/>
                <w:tab w:val="left" w:pos="5626"/>
              </w:tabs>
              <w:rPr>
                <w:i/>
                <w:sz w:val="20"/>
                <w:szCs w:val="20"/>
              </w:rPr>
            </w:pPr>
          </w:p>
          <w:p w:rsidR="0037700C" w:rsidRDefault="0037700C" w:rsidP="00D35723">
            <w:pPr>
              <w:tabs>
                <w:tab w:val="center" w:pos="4513"/>
                <w:tab w:val="left" w:pos="5626"/>
              </w:tabs>
              <w:rPr>
                <w:i/>
                <w:sz w:val="20"/>
                <w:szCs w:val="20"/>
              </w:rPr>
            </w:pPr>
            <w:r w:rsidRPr="009F3153">
              <w:rPr>
                <w:b/>
                <w:color w:val="FF0000"/>
              </w:rPr>
              <w:t xml:space="preserve">Appendix T is the Group IT Policy, which was not in the Staff Handbook. AP confirmed that the Handbook is still at draft and is yet to be approved. </w:t>
            </w:r>
            <w:r w:rsidRPr="009F3153">
              <w:rPr>
                <w:shd w:val="clear" w:color="auto" w:fill="FFFF00"/>
              </w:rPr>
              <w:t>The Quality Policy, Environmental Policy, and Information Security Policy need to be included as appendices.</w:t>
            </w:r>
          </w:p>
          <w:p w:rsidR="00F244C9" w:rsidRDefault="00F244C9" w:rsidP="00D35723">
            <w:pPr>
              <w:tabs>
                <w:tab w:val="center" w:pos="4513"/>
                <w:tab w:val="left" w:pos="5626"/>
              </w:tabs>
              <w:rPr>
                <w:i/>
                <w:sz w:val="20"/>
                <w:szCs w:val="20"/>
              </w:rPr>
            </w:pPr>
          </w:p>
          <w:p w:rsidR="006E0C65" w:rsidRDefault="0037700C" w:rsidP="00D35723">
            <w:pPr>
              <w:tabs>
                <w:tab w:val="center" w:pos="4513"/>
                <w:tab w:val="left" w:pos="5626"/>
              </w:tabs>
            </w:pPr>
            <w:r w:rsidRPr="000C02A7">
              <w:rPr>
                <w:highlight w:val="cyan"/>
              </w:rPr>
              <w:t>The S of A states that duties and responsibilities are in job descriptions. This is not the case for the ISMS, and AP explained that Job Titles will be added to the Training Matrix, which will link with relevant policies and processes.</w:t>
            </w:r>
          </w:p>
          <w:p w:rsidR="0037700C" w:rsidRDefault="0037700C" w:rsidP="00D35723">
            <w:pPr>
              <w:tabs>
                <w:tab w:val="center" w:pos="4513"/>
                <w:tab w:val="left" w:pos="5626"/>
              </w:tabs>
            </w:pPr>
          </w:p>
          <w:p w:rsidR="0037700C" w:rsidRDefault="0037700C" w:rsidP="00D35723">
            <w:pPr>
              <w:tabs>
                <w:tab w:val="center" w:pos="4513"/>
                <w:tab w:val="left" w:pos="5626"/>
              </w:tabs>
            </w:pPr>
            <w:r w:rsidRPr="000C02A7">
              <w:rPr>
                <w:highlight w:val="cyan"/>
              </w:rPr>
              <w:t>Contact with authorities is not detailed in the RA&amp;TP.</w:t>
            </w:r>
          </w:p>
          <w:p w:rsidR="0037700C" w:rsidRDefault="0037700C" w:rsidP="00D35723">
            <w:pPr>
              <w:tabs>
                <w:tab w:val="center" w:pos="4513"/>
                <w:tab w:val="left" w:pos="5626"/>
              </w:tabs>
            </w:pPr>
          </w:p>
          <w:p w:rsidR="0037700C" w:rsidRDefault="0037700C" w:rsidP="0037700C">
            <w:r w:rsidRPr="00E16FF1">
              <w:rPr>
                <w:highlight w:val="yellow"/>
              </w:rPr>
              <w:t>It may be beneficial for AP to regularly review the ISO website, as updates on ISO standards and news articles are available to the public.</w:t>
            </w:r>
          </w:p>
          <w:p w:rsidR="0037700C" w:rsidRDefault="0037700C"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D5442B" w:rsidRDefault="00D5442B" w:rsidP="00D35723">
            <w:pPr>
              <w:tabs>
                <w:tab w:val="center" w:pos="4513"/>
                <w:tab w:val="left" w:pos="5626"/>
              </w:tabs>
              <w:rPr>
                <w:b/>
              </w:rPr>
            </w:pPr>
            <w:r>
              <w:rPr>
                <w:b/>
              </w:rPr>
              <w:t>Signed (auditor)              G Burnell                                                                                             Date 10/10/17</w:t>
            </w:r>
          </w:p>
          <w:p w:rsidR="006E0C65" w:rsidRPr="006E0C65" w:rsidRDefault="006E0C65" w:rsidP="00D35723">
            <w:pPr>
              <w:tabs>
                <w:tab w:val="center" w:pos="4513"/>
                <w:tab w:val="left" w:pos="5626"/>
              </w:tabs>
              <w:rPr>
                <w:b/>
              </w:rPr>
            </w:pPr>
            <w:r>
              <w:rPr>
                <w:b/>
              </w:rPr>
              <w:t>Signed (auditee)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rsidTr="001C28E0">
        <w:tc>
          <w:tcPr>
            <w:tcW w:w="9640" w:type="dxa"/>
            <w:shd w:val="clear" w:color="auto" w:fill="auto"/>
          </w:tcPr>
          <w:p w:rsidR="00D137B6" w:rsidRDefault="00D137B6" w:rsidP="00D35723">
            <w:pPr>
              <w:tabs>
                <w:tab w:val="center" w:pos="4513"/>
                <w:tab w:val="left" w:pos="5626"/>
              </w:tabs>
              <w:rPr>
                <w:b/>
              </w:rPr>
            </w:pPr>
            <w:r>
              <w:rPr>
                <w:b/>
              </w:rPr>
              <w:t>Investigation including Root Cause ( 5 whys )</w:t>
            </w: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r>
              <w:rPr>
                <w:b/>
              </w:rPr>
              <w:t>Signed                                                                                                                              Date</w:t>
            </w:r>
          </w:p>
        </w:tc>
      </w:tr>
    </w:tbl>
    <w:p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1C28E0">
        <w:tc>
          <w:tcPr>
            <w:tcW w:w="9640" w:type="dxa"/>
            <w:shd w:val="clear" w:color="auto" w:fill="auto"/>
          </w:tcPr>
          <w:p w:rsidR="006E0C65" w:rsidRDefault="006E0C65" w:rsidP="00D35723">
            <w:pPr>
              <w:tabs>
                <w:tab w:val="center" w:pos="4513"/>
                <w:tab w:val="left" w:pos="5626"/>
              </w:tabs>
              <w:rPr>
                <w:b/>
              </w:rPr>
            </w:pPr>
            <w:r>
              <w:rPr>
                <w:b/>
              </w:rPr>
              <w:t>Corrective Action Agreed</w:t>
            </w:r>
          </w:p>
          <w:p w:rsidR="006E0C65" w:rsidRDefault="006E0C65" w:rsidP="00D35723">
            <w:pPr>
              <w:tabs>
                <w:tab w:val="center" w:pos="4513"/>
                <w:tab w:val="left" w:pos="5626"/>
              </w:tabs>
              <w:rPr>
                <w:b/>
              </w:rPr>
            </w:pPr>
          </w:p>
          <w:p w:rsidR="00B4756A" w:rsidRPr="008A7088" w:rsidRDefault="00B4756A" w:rsidP="00B4756A">
            <w:pPr>
              <w:tabs>
                <w:tab w:val="center" w:pos="4513"/>
                <w:tab w:val="left" w:pos="5626"/>
              </w:tabs>
            </w:pPr>
            <w:r w:rsidRPr="008A7088">
              <w:t>Final amendments are being made to the Staff Handbook prior to distribution for Executive sign-off.  The Group IT Policy (reference to Appendix T has been removed), together with the Quality, Environmental and Information Security Policies have all been updated into the Handbook as appendices.</w:t>
            </w: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6E0C65">
            <w:pPr>
              <w:tabs>
                <w:tab w:val="center" w:pos="4513"/>
                <w:tab w:val="left" w:pos="5626"/>
              </w:tabs>
              <w:rPr>
                <w:b/>
              </w:rPr>
            </w:pPr>
            <w:r>
              <w:rPr>
                <w:b/>
              </w:rPr>
              <w:t>Signed (auditor)                                                                                                           Date</w:t>
            </w:r>
          </w:p>
          <w:p w:rsidR="006E0C65" w:rsidRDefault="006E0C65" w:rsidP="00B4756A">
            <w:pPr>
              <w:tabs>
                <w:tab w:val="center" w:pos="4513"/>
                <w:tab w:val="left" w:pos="5626"/>
              </w:tabs>
              <w:rPr>
                <w:b/>
              </w:rPr>
            </w:pPr>
            <w:r>
              <w:rPr>
                <w:b/>
              </w:rPr>
              <w:t>Signed (process owner</w:t>
            </w:r>
            <w:r w:rsidRPr="00B4756A">
              <w:rPr>
                <w:b/>
                <w:color w:val="17365D" w:themeColor="text2" w:themeShade="BF"/>
              </w:rPr>
              <w:t xml:space="preserve">)     </w:t>
            </w:r>
            <w:r w:rsidR="00B4756A" w:rsidRPr="00B4756A">
              <w:rPr>
                <w:b/>
                <w:color w:val="17365D" w:themeColor="text2" w:themeShade="BF"/>
              </w:rPr>
              <w:t xml:space="preserve">A Pickett </w:t>
            </w:r>
            <w:r w:rsidRPr="00B4756A">
              <w:rPr>
                <w:b/>
                <w:color w:val="17365D" w:themeColor="text2" w:themeShade="BF"/>
              </w:rPr>
              <w:t xml:space="preserve">                                                                       </w:t>
            </w:r>
            <w:r>
              <w:rPr>
                <w:b/>
              </w:rPr>
              <w:t>Date</w:t>
            </w:r>
            <w:r w:rsidR="00B4756A">
              <w:rPr>
                <w:b/>
              </w:rPr>
              <w:t xml:space="preserve">  </w:t>
            </w:r>
            <w:r w:rsidR="00B4756A" w:rsidRPr="00B4756A">
              <w:rPr>
                <w:b/>
                <w:color w:val="17365D" w:themeColor="text2" w:themeShade="BF"/>
              </w:rPr>
              <w:t>6/11/17</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1C28E0">
        <w:tc>
          <w:tcPr>
            <w:tcW w:w="9640" w:type="dxa"/>
            <w:shd w:val="clear" w:color="auto" w:fill="auto"/>
          </w:tcPr>
          <w:p w:rsidR="006E0C65" w:rsidRDefault="000458ED" w:rsidP="00D35723">
            <w:pPr>
              <w:tabs>
                <w:tab w:val="center" w:pos="4513"/>
                <w:tab w:val="left" w:pos="5626"/>
              </w:tabs>
              <w:rPr>
                <w:b/>
              </w:rPr>
            </w:pPr>
            <w:r>
              <w:rPr>
                <w:b/>
              </w:rPr>
              <w:t>Corrective action completed</w:t>
            </w:r>
          </w:p>
          <w:p w:rsidR="008A7088" w:rsidRDefault="008A7088" w:rsidP="00D35723">
            <w:pPr>
              <w:tabs>
                <w:tab w:val="center" w:pos="4513"/>
                <w:tab w:val="left" w:pos="5626"/>
              </w:tabs>
              <w:rPr>
                <w:b/>
              </w:rPr>
            </w:pPr>
          </w:p>
          <w:p w:rsidR="008A7088" w:rsidRPr="008A7088" w:rsidRDefault="008A7088" w:rsidP="00D35723">
            <w:pPr>
              <w:tabs>
                <w:tab w:val="center" w:pos="4513"/>
                <w:tab w:val="left" w:pos="5626"/>
              </w:tabs>
            </w:pPr>
            <w:r w:rsidRPr="00280B16">
              <w:t xml:space="preserve">Staff Handbook </w:t>
            </w:r>
            <w:r w:rsidR="00280B16" w:rsidRPr="00280B16">
              <w:t xml:space="preserve">has completed final updates, and is </w:t>
            </w:r>
            <w:r w:rsidR="00B4756A" w:rsidRPr="00280B16">
              <w:t xml:space="preserve">to be </w:t>
            </w:r>
            <w:r w:rsidRPr="00280B16">
              <w:t>distribut</w:t>
            </w:r>
            <w:r w:rsidR="00B4756A" w:rsidRPr="00280B16">
              <w:t xml:space="preserve">ed </w:t>
            </w:r>
            <w:r w:rsidRPr="00280B16">
              <w:t>for Executive sign-off</w:t>
            </w:r>
            <w:r w:rsidR="00B4756A" w:rsidRPr="00280B16">
              <w:t xml:space="preserve"> and then distributed to employees – target date: </w:t>
            </w:r>
            <w:r w:rsidR="00280B16" w:rsidRPr="00280B16">
              <w:t>8</w:t>
            </w:r>
            <w:r w:rsidR="00280B16">
              <w:t xml:space="preserve"> December, 2017</w:t>
            </w:r>
          </w:p>
          <w:p w:rsidR="008A7088" w:rsidRDefault="008A7088" w:rsidP="008A7088">
            <w:pPr>
              <w:tabs>
                <w:tab w:val="center" w:pos="4513"/>
                <w:tab w:val="left" w:pos="5626"/>
              </w:tabs>
              <w:rPr>
                <w:i/>
                <w:sz w:val="20"/>
                <w:szCs w:val="20"/>
              </w:rPr>
            </w:pPr>
          </w:p>
          <w:p w:rsidR="008A7088" w:rsidRDefault="008A7088" w:rsidP="008A7088">
            <w:pPr>
              <w:tabs>
                <w:tab w:val="center" w:pos="4513"/>
                <w:tab w:val="left" w:pos="5626"/>
              </w:tabs>
            </w:pPr>
            <w:r w:rsidRPr="008A7088">
              <w:t xml:space="preserve">The Statement of Applicability has been updated to clarify the </w:t>
            </w:r>
            <w:r>
              <w:t>content of the Training Matrix</w:t>
            </w:r>
            <w:r w:rsidR="006254AB">
              <w:t xml:space="preserve"> </w:t>
            </w:r>
            <w:r w:rsidR="00B700DF">
              <w:t xml:space="preserve">recording job titles, email and pc office system requirements, </w:t>
            </w:r>
            <w:r w:rsidR="00CC4691">
              <w:t xml:space="preserve">application </w:t>
            </w:r>
            <w:r w:rsidR="00B700DF">
              <w:t>systems requirements</w:t>
            </w:r>
            <w:r w:rsidR="00CC4691">
              <w:t xml:space="preserve"> and knowledge, as well as processes and policies training and knowledge levels.</w:t>
            </w:r>
          </w:p>
          <w:p w:rsidR="00FF71ED" w:rsidRDefault="00FF71ED" w:rsidP="008A7088">
            <w:pPr>
              <w:tabs>
                <w:tab w:val="center" w:pos="4513"/>
                <w:tab w:val="left" w:pos="5626"/>
              </w:tabs>
            </w:pPr>
          </w:p>
          <w:p w:rsidR="00FF71ED" w:rsidRDefault="00FF71ED" w:rsidP="008A7088">
            <w:pPr>
              <w:tabs>
                <w:tab w:val="center" w:pos="4513"/>
                <w:tab w:val="left" w:pos="5626"/>
              </w:tabs>
            </w:pPr>
            <w:r>
              <w:t xml:space="preserve">The Risk Assessment and Treatment Plan </w:t>
            </w:r>
            <w:proofErr w:type="gramStart"/>
            <w:r>
              <w:t>has</w:t>
            </w:r>
            <w:proofErr w:type="gramEnd"/>
            <w:r>
              <w:t xml:space="preserve"> been updated with regards to contact with authorities (IOM Government, Department of Economic Development) </w:t>
            </w:r>
            <w:r w:rsidR="00044B79">
              <w:t xml:space="preserve">and special </w:t>
            </w:r>
            <w:r>
              <w:t>interest groups (</w:t>
            </w:r>
            <w:proofErr w:type="spellStart"/>
            <w:r>
              <w:t>eg</w:t>
            </w:r>
            <w:proofErr w:type="spellEnd"/>
            <w:r>
              <w:t xml:space="preserve"> IOM Chamber of Commerce</w:t>
            </w:r>
            <w:r w:rsidR="00280B16">
              <w:t xml:space="preserve"> and ISO Forum</w:t>
            </w:r>
            <w:r>
              <w:t>).</w:t>
            </w:r>
          </w:p>
          <w:p w:rsidR="00CC4691" w:rsidRDefault="00CC4691" w:rsidP="008A7088">
            <w:pPr>
              <w:tabs>
                <w:tab w:val="center" w:pos="4513"/>
                <w:tab w:val="left" w:pos="5626"/>
              </w:tabs>
              <w:rPr>
                <w:i/>
                <w:sz w:val="20"/>
                <w:szCs w:val="20"/>
              </w:rPr>
            </w:pPr>
          </w:p>
          <w:p w:rsidR="000458ED" w:rsidRDefault="000458ED" w:rsidP="000458ED">
            <w:pPr>
              <w:tabs>
                <w:tab w:val="center" w:pos="4513"/>
                <w:tab w:val="left" w:pos="5626"/>
              </w:tabs>
              <w:rPr>
                <w:b/>
              </w:rPr>
            </w:pPr>
            <w:r>
              <w:rPr>
                <w:b/>
              </w:rPr>
              <w:t>Signed (auditor)                                                                                                           Date</w:t>
            </w:r>
          </w:p>
          <w:p w:rsidR="000458ED" w:rsidRDefault="000458ED" w:rsidP="00FF71ED">
            <w:pPr>
              <w:tabs>
                <w:tab w:val="center" w:pos="4513"/>
                <w:tab w:val="left" w:pos="5626"/>
              </w:tabs>
              <w:rPr>
                <w:b/>
              </w:rPr>
            </w:pPr>
            <w:r>
              <w:rPr>
                <w:b/>
              </w:rPr>
              <w:t xml:space="preserve">Signed (process owner)                </w:t>
            </w:r>
            <w:r w:rsidR="00FF71ED" w:rsidRPr="00FF71ED">
              <w:rPr>
                <w:b/>
                <w:color w:val="17365D" w:themeColor="text2" w:themeShade="BF"/>
              </w:rPr>
              <w:t>A Pickett</w:t>
            </w:r>
            <w:r w:rsidRPr="00FF71ED">
              <w:rPr>
                <w:b/>
                <w:color w:val="17365D" w:themeColor="text2" w:themeShade="BF"/>
              </w:rPr>
              <w:t xml:space="preserve">                                                             </w:t>
            </w:r>
            <w:r>
              <w:rPr>
                <w:b/>
              </w:rPr>
              <w:t>Date</w:t>
            </w:r>
            <w:r w:rsidR="00FF71ED">
              <w:rPr>
                <w:b/>
              </w:rPr>
              <w:t xml:space="preserve"> </w:t>
            </w:r>
            <w:r w:rsidR="00E3522B">
              <w:rPr>
                <w:b/>
                <w:color w:val="17365D" w:themeColor="text2" w:themeShade="BF"/>
              </w:rPr>
              <w:t>06</w:t>
            </w:r>
            <w:bookmarkStart w:id="0" w:name="_GoBack"/>
            <w:bookmarkEnd w:id="0"/>
            <w:r w:rsidR="00FF71ED" w:rsidRPr="00FF71ED">
              <w:rPr>
                <w:b/>
                <w:color w:val="17365D" w:themeColor="text2" w:themeShade="BF"/>
              </w:rPr>
              <w:t>/11/17</w:t>
            </w:r>
          </w:p>
        </w:tc>
      </w:tr>
    </w:tbl>
    <w:p w:rsidR="006E0C65" w:rsidRPr="0034506C" w:rsidRDefault="006E0C65" w:rsidP="00D35723">
      <w:pPr>
        <w:tabs>
          <w:tab w:val="center" w:pos="4513"/>
          <w:tab w:val="left" w:pos="5626"/>
        </w:tabs>
        <w:spacing w:after="0"/>
        <w:rPr>
          <w:b/>
        </w:rPr>
      </w:pPr>
    </w:p>
    <w:sectPr w:rsidR="006E0C65" w:rsidRPr="0034506C" w:rsidSect="004403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861" w:rsidRDefault="00704861" w:rsidP="005D700E">
      <w:pPr>
        <w:spacing w:after="0" w:line="240" w:lineRule="auto"/>
      </w:pPr>
      <w:r>
        <w:separator/>
      </w:r>
    </w:p>
  </w:endnote>
  <w:endnote w:type="continuationSeparator" w:id="0">
    <w:p w:rsidR="00704861" w:rsidRDefault="00704861"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861" w:rsidRDefault="00704861" w:rsidP="005D700E">
      <w:pPr>
        <w:spacing w:after="0" w:line="240" w:lineRule="auto"/>
      </w:pPr>
      <w:r>
        <w:separator/>
      </w:r>
    </w:p>
  </w:footnote>
  <w:footnote w:type="continuationSeparator" w:id="0">
    <w:p w:rsidR="00704861" w:rsidRDefault="00704861" w:rsidP="005D7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40" w:type="dxa"/>
      <w:tblInd w:w="-176" w:type="dxa"/>
      <w:tblLook w:val="04A0" w:firstRow="1" w:lastRow="0" w:firstColumn="1" w:lastColumn="0" w:noHBand="0" w:noVBand="1"/>
    </w:tblPr>
    <w:tblGrid>
      <w:gridCol w:w="2127"/>
      <w:gridCol w:w="3402"/>
      <w:gridCol w:w="4111"/>
    </w:tblGrid>
    <w:tr w:rsidR="00704861" w:rsidTr="00D35723">
      <w:tc>
        <w:tcPr>
          <w:tcW w:w="9640" w:type="dxa"/>
          <w:gridSpan w:val="3"/>
        </w:tcPr>
        <w:p w:rsidR="00704861" w:rsidRPr="00314F63" w:rsidRDefault="00704861" w:rsidP="00D35723">
          <w:pPr>
            <w:pStyle w:val="Header"/>
            <w:jc w:val="center"/>
            <w:rPr>
              <w:b/>
              <w:sz w:val="28"/>
              <w:szCs w:val="28"/>
            </w:rPr>
          </w:pPr>
          <w:r>
            <w:rPr>
              <w:rFonts w:ascii="Arial" w:hAnsi="Arial" w:cs="Arial"/>
              <w:b/>
              <w:bCs/>
              <w:noProof/>
              <w:sz w:val="15"/>
              <w:szCs w:val="15"/>
              <w:lang w:eastAsia="en-GB"/>
            </w:rPr>
            <w:drawing>
              <wp:inline distT="0" distB="0" distL="0" distR="0">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704861" w:rsidTr="00D35723">
      <w:tc>
        <w:tcPr>
          <w:tcW w:w="9640" w:type="dxa"/>
          <w:gridSpan w:val="3"/>
        </w:tcPr>
        <w:p w:rsidR="00704861" w:rsidRPr="00314F63" w:rsidRDefault="00704861" w:rsidP="00D35723">
          <w:pPr>
            <w:pStyle w:val="Header"/>
            <w:jc w:val="center"/>
            <w:rPr>
              <w:b/>
              <w:sz w:val="32"/>
              <w:szCs w:val="32"/>
            </w:rPr>
          </w:pPr>
          <w:r>
            <w:rPr>
              <w:b/>
              <w:sz w:val="32"/>
              <w:szCs w:val="32"/>
            </w:rPr>
            <w:t>Audit Report</w:t>
          </w:r>
        </w:p>
        <w:p w:rsidR="00704861" w:rsidRDefault="00704861" w:rsidP="00D35723">
          <w:pPr>
            <w:pStyle w:val="Header"/>
            <w:jc w:val="center"/>
          </w:pPr>
        </w:p>
      </w:tc>
    </w:tr>
    <w:tr w:rsidR="00704861" w:rsidTr="00D35723">
      <w:tc>
        <w:tcPr>
          <w:tcW w:w="9640" w:type="dxa"/>
          <w:gridSpan w:val="3"/>
        </w:tcPr>
        <w:p w:rsidR="00704861" w:rsidRDefault="00704861" w:rsidP="00D137B6">
          <w:pPr>
            <w:pStyle w:val="Header"/>
            <w:jc w:val="center"/>
            <w:rPr>
              <w:b/>
              <w:sz w:val="28"/>
              <w:szCs w:val="28"/>
            </w:rPr>
          </w:pPr>
          <w:r>
            <w:rPr>
              <w:b/>
              <w:sz w:val="28"/>
              <w:szCs w:val="28"/>
            </w:rPr>
            <w:t>BS ISO/IEC 27001:2013</w:t>
          </w:r>
        </w:p>
        <w:p w:rsidR="00704861" w:rsidRPr="00314F63" w:rsidRDefault="00704861" w:rsidP="00D137B6">
          <w:pPr>
            <w:pStyle w:val="Header"/>
            <w:jc w:val="center"/>
            <w:rPr>
              <w:b/>
              <w:sz w:val="28"/>
              <w:szCs w:val="28"/>
            </w:rPr>
          </w:pPr>
          <w:r>
            <w:rPr>
              <w:b/>
              <w:sz w:val="28"/>
              <w:szCs w:val="28"/>
            </w:rPr>
            <w:t>BS EN ISO 14001:2015</w:t>
          </w:r>
        </w:p>
      </w:tc>
    </w:tr>
    <w:tr w:rsidR="00704861" w:rsidTr="00D35723">
      <w:tc>
        <w:tcPr>
          <w:tcW w:w="2127" w:type="dxa"/>
        </w:tcPr>
        <w:p w:rsidR="00704861" w:rsidRPr="006F6A8D" w:rsidRDefault="00704861" w:rsidP="006F6A8D">
          <w:pPr>
            <w:pStyle w:val="Header"/>
            <w:rPr>
              <w:b/>
              <w:sz w:val="24"/>
              <w:szCs w:val="24"/>
            </w:rPr>
          </w:pPr>
          <w:r w:rsidRPr="006F6A8D">
            <w:rPr>
              <w:b/>
              <w:sz w:val="24"/>
              <w:szCs w:val="24"/>
            </w:rPr>
            <w:t>Issue 1</w:t>
          </w:r>
        </w:p>
      </w:tc>
      <w:tc>
        <w:tcPr>
          <w:tcW w:w="3402" w:type="dxa"/>
        </w:tcPr>
        <w:p w:rsidR="00704861" w:rsidRPr="00314F63" w:rsidRDefault="00704861" w:rsidP="005D700E">
          <w:pPr>
            <w:pStyle w:val="Header"/>
            <w:rPr>
              <w:b/>
              <w:sz w:val="24"/>
              <w:szCs w:val="24"/>
            </w:rPr>
          </w:pPr>
          <w:r w:rsidRPr="00314F63">
            <w:rPr>
              <w:b/>
              <w:sz w:val="24"/>
              <w:szCs w:val="24"/>
            </w:rPr>
            <w:t xml:space="preserve">Ref. </w:t>
          </w:r>
          <w:r>
            <w:rPr>
              <w:b/>
              <w:sz w:val="24"/>
              <w:szCs w:val="24"/>
            </w:rPr>
            <w:t>AUDIT</w:t>
          </w:r>
        </w:p>
      </w:tc>
      <w:tc>
        <w:tcPr>
          <w:tcW w:w="4111" w:type="dxa"/>
        </w:tcPr>
        <w:p w:rsidR="00704861" w:rsidRPr="00314F63" w:rsidRDefault="00704861" w:rsidP="00D35723">
          <w:pPr>
            <w:pStyle w:val="Header"/>
            <w:rPr>
              <w:b/>
              <w:sz w:val="24"/>
              <w:szCs w:val="24"/>
            </w:rPr>
          </w:pPr>
          <w:r w:rsidRPr="00314F63">
            <w:rPr>
              <w:b/>
              <w:sz w:val="24"/>
              <w:szCs w:val="24"/>
            </w:rPr>
            <w:t>Authorised by:-</w:t>
          </w:r>
          <w:r>
            <w:rPr>
              <w:b/>
              <w:sz w:val="24"/>
              <w:szCs w:val="24"/>
            </w:rPr>
            <w:t xml:space="preserve"> K Burnell</w:t>
          </w:r>
        </w:p>
      </w:tc>
    </w:tr>
    <w:tr w:rsidR="00704861" w:rsidTr="00D35723">
      <w:tc>
        <w:tcPr>
          <w:tcW w:w="2127" w:type="dxa"/>
        </w:tcPr>
        <w:sdt>
          <w:sdtPr>
            <w:id w:val="250395305"/>
            <w:docPartObj>
              <w:docPartGallery w:val="Page Numbers (Top of Page)"/>
              <w:docPartUnique/>
            </w:docPartObj>
          </w:sdtPr>
          <w:sdtEndPr/>
          <w:sdtContent>
            <w:p w:rsidR="00704861" w:rsidRPr="00D05F54" w:rsidRDefault="00704861" w:rsidP="00D05F54">
              <w:r w:rsidRPr="00D05F54">
                <w:rPr>
                  <w:b/>
                  <w:sz w:val="24"/>
                </w:rPr>
                <w:t xml:space="preserve">Page </w:t>
              </w:r>
              <w:r w:rsidR="002A6D6D" w:rsidRPr="00D05F54">
                <w:rPr>
                  <w:b/>
                  <w:sz w:val="24"/>
                </w:rPr>
                <w:fldChar w:fldCharType="begin"/>
              </w:r>
              <w:r w:rsidRPr="00D05F54">
                <w:rPr>
                  <w:b/>
                  <w:sz w:val="24"/>
                </w:rPr>
                <w:instrText xml:space="preserve"> PAGE </w:instrText>
              </w:r>
              <w:r w:rsidR="002A6D6D" w:rsidRPr="00D05F54">
                <w:rPr>
                  <w:b/>
                  <w:sz w:val="24"/>
                </w:rPr>
                <w:fldChar w:fldCharType="separate"/>
              </w:r>
              <w:r w:rsidR="00E3522B">
                <w:rPr>
                  <w:b/>
                  <w:noProof/>
                  <w:sz w:val="24"/>
                </w:rPr>
                <w:t>5</w:t>
              </w:r>
              <w:r w:rsidR="002A6D6D" w:rsidRPr="00D05F54">
                <w:rPr>
                  <w:b/>
                  <w:sz w:val="24"/>
                </w:rPr>
                <w:fldChar w:fldCharType="end"/>
              </w:r>
              <w:r w:rsidRPr="00D05F54">
                <w:rPr>
                  <w:b/>
                  <w:sz w:val="24"/>
                </w:rPr>
                <w:t xml:space="preserve"> of </w:t>
              </w:r>
              <w:r w:rsidR="002A6D6D" w:rsidRPr="00D05F54">
                <w:rPr>
                  <w:b/>
                  <w:sz w:val="24"/>
                </w:rPr>
                <w:fldChar w:fldCharType="begin"/>
              </w:r>
              <w:r w:rsidRPr="00D05F54">
                <w:rPr>
                  <w:b/>
                  <w:sz w:val="24"/>
                </w:rPr>
                <w:instrText xml:space="preserve"> NUMPAGES  </w:instrText>
              </w:r>
              <w:r w:rsidR="002A6D6D" w:rsidRPr="00D05F54">
                <w:rPr>
                  <w:b/>
                  <w:sz w:val="24"/>
                </w:rPr>
                <w:fldChar w:fldCharType="separate"/>
              </w:r>
              <w:r w:rsidR="00E3522B">
                <w:rPr>
                  <w:b/>
                  <w:noProof/>
                  <w:sz w:val="24"/>
                </w:rPr>
                <w:t>5</w:t>
              </w:r>
              <w:r w:rsidR="002A6D6D" w:rsidRPr="00D05F54">
                <w:rPr>
                  <w:b/>
                  <w:sz w:val="24"/>
                </w:rPr>
                <w:fldChar w:fldCharType="end"/>
              </w:r>
            </w:p>
          </w:sdtContent>
        </w:sdt>
      </w:tc>
      <w:tc>
        <w:tcPr>
          <w:tcW w:w="3402" w:type="dxa"/>
        </w:tcPr>
        <w:p w:rsidR="00704861" w:rsidRPr="00314F63" w:rsidRDefault="00704861"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rsidR="00704861" w:rsidRPr="00314F63" w:rsidRDefault="00704861" w:rsidP="00D35723">
          <w:pPr>
            <w:pStyle w:val="Header"/>
            <w:rPr>
              <w:b/>
              <w:sz w:val="24"/>
              <w:szCs w:val="24"/>
            </w:rPr>
          </w:pPr>
          <w:r w:rsidRPr="00314F63">
            <w:rPr>
              <w:b/>
              <w:sz w:val="24"/>
              <w:szCs w:val="24"/>
            </w:rPr>
            <w:t xml:space="preserve">Classification – </w:t>
          </w:r>
          <w:r>
            <w:rPr>
              <w:b/>
              <w:sz w:val="24"/>
              <w:szCs w:val="24"/>
            </w:rPr>
            <w:t>Restricted Access</w:t>
          </w:r>
        </w:p>
      </w:tc>
    </w:tr>
  </w:tbl>
  <w:p w:rsidR="00704861" w:rsidRDefault="007048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641A0C67"/>
    <w:multiLevelType w:val="hybridMultilevel"/>
    <w:tmpl w:val="BE684B96"/>
    <w:lvl w:ilvl="0" w:tplc="202ED31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700E"/>
    <w:rsid w:val="00027D87"/>
    <w:rsid w:val="000370F3"/>
    <w:rsid w:val="00044B79"/>
    <w:rsid w:val="000458ED"/>
    <w:rsid w:val="0007649C"/>
    <w:rsid w:val="00082A5A"/>
    <w:rsid w:val="000B6537"/>
    <w:rsid w:val="000F1ED6"/>
    <w:rsid w:val="001207D8"/>
    <w:rsid w:val="001529ED"/>
    <w:rsid w:val="00194D4D"/>
    <w:rsid w:val="001A14D6"/>
    <w:rsid w:val="001C28E0"/>
    <w:rsid w:val="001C3DD9"/>
    <w:rsid w:val="00223263"/>
    <w:rsid w:val="002718E8"/>
    <w:rsid w:val="002747DE"/>
    <w:rsid w:val="00280B16"/>
    <w:rsid w:val="0028684E"/>
    <w:rsid w:val="002A6D6D"/>
    <w:rsid w:val="002C6843"/>
    <w:rsid w:val="002E784E"/>
    <w:rsid w:val="0034506C"/>
    <w:rsid w:val="0037700C"/>
    <w:rsid w:val="003913D3"/>
    <w:rsid w:val="003B2DB6"/>
    <w:rsid w:val="003D6B7A"/>
    <w:rsid w:val="00405813"/>
    <w:rsid w:val="00436D98"/>
    <w:rsid w:val="004403B8"/>
    <w:rsid w:val="004459FB"/>
    <w:rsid w:val="004769FF"/>
    <w:rsid w:val="004A0F70"/>
    <w:rsid w:val="004D5556"/>
    <w:rsid w:val="00516955"/>
    <w:rsid w:val="00562E66"/>
    <w:rsid w:val="005C4C8A"/>
    <w:rsid w:val="005D700E"/>
    <w:rsid w:val="006145AB"/>
    <w:rsid w:val="006254AB"/>
    <w:rsid w:val="006307C9"/>
    <w:rsid w:val="00633FC8"/>
    <w:rsid w:val="00666281"/>
    <w:rsid w:val="006D437E"/>
    <w:rsid w:val="006E0C65"/>
    <w:rsid w:val="006F6A8D"/>
    <w:rsid w:val="006F7C86"/>
    <w:rsid w:val="00700223"/>
    <w:rsid w:val="00704861"/>
    <w:rsid w:val="007E39FC"/>
    <w:rsid w:val="00850B1B"/>
    <w:rsid w:val="008A7088"/>
    <w:rsid w:val="008B4C51"/>
    <w:rsid w:val="008C6243"/>
    <w:rsid w:val="008F5786"/>
    <w:rsid w:val="00921B10"/>
    <w:rsid w:val="00933709"/>
    <w:rsid w:val="00933D4B"/>
    <w:rsid w:val="009A08C2"/>
    <w:rsid w:val="009B4D19"/>
    <w:rsid w:val="009B7F65"/>
    <w:rsid w:val="009E41BC"/>
    <w:rsid w:val="009F4C40"/>
    <w:rsid w:val="00A81902"/>
    <w:rsid w:val="00A904D8"/>
    <w:rsid w:val="00A93292"/>
    <w:rsid w:val="00AA3ECB"/>
    <w:rsid w:val="00AC6799"/>
    <w:rsid w:val="00AE4DB8"/>
    <w:rsid w:val="00B11078"/>
    <w:rsid w:val="00B251A4"/>
    <w:rsid w:val="00B26696"/>
    <w:rsid w:val="00B4756A"/>
    <w:rsid w:val="00B700DF"/>
    <w:rsid w:val="00BA5C5C"/>
    <w:rsid w:val="00BD7BD9"/>
    <w:rsid w:val="00BF30AF"/>
    <w:rsid w:val="00C116ED"/>
    <w:rsid w:val="00C66DE7"/>
    <w:rsid w:val="00C72168"/>
    <w:rsid w:val="00C82EC3"/>
    <w:rsid w:val="00C91D3E"/>
    <w:rsid w:val="00CC4691"/>
    <w:rsid w:val="00CF47F8"/>
    <w:rsid w:val="00D05F54"/>
    <w:rsid w:val="00D137B6"/>
    <w:rsid w:val="00D35723"/>
    <w:rsid w:val="00D5442B"/>
    <w:rsid w:val="00D87F46"/>
    <w:rsid w:val="00DA5787"/>
    <w:rsid w:val="00DC4999"/>
    <w:rsid w:val="00E15AAD"/>
    <w:rsid w:val="00E3522B"/>
    <w:rsid w:val="00E44758"/>
    <w:rsid w:val="00E475B2"/>
    <w:rsid w:val="00E62B02"/>
    <w:rsid w:val="00EF3EEA"/>
    <w:rsid w:val="00F05FA3"/>
    <w:rsid w:val="00F244C9"/>
    <w:rsid w:val="00F40ADD"/>
    <w:rsid w:val="00FA3CC3"/>
    <w:rsid w:val="00FB3B23"/>
    <w:rsid w:val="00FF71E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88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745</TotalTime>
  <Pages>5</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Ally Kinnin</cp:lastModifiedBy>
  <cp:revision>49</cp:revision>
  <dcterms:created xsi:type="dcterms:W3CDTF">2014-07-09T11:48:00Z</dcterms:created>
  <dcterms:modified xsi:type="dcterms:W3CDTF">2017-11-13T12:27:00Z</dcterms:modified>
</cp:coreProperties>
</file>