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1C3274">
              <w:rPr>
                <w:b/>
              </w:rPr>
              <w:t>13-10-2017-025</w:t>
            </w:r>
            <w:r w:rsidR="00562E66">
              <w:rPr>
                <w:b/>
              </w:rPr>
              <w:t xml:space="preserve">    </w:t>
            </w:r>
            <w:r w:rsidR="005F7D85">
              <w:rPr>
                <w:b/>
              </w:rPr>
              <w:t>Business Continuity Management, Compliance</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5F7D85" w:rsidRPr="005F7D85">
              <w:t>N/A</w:t>
            </w:r>
          </w:p>
        </w:tc>
        <w:tc>
          <w:tcPr>
            <w:tcW w:w="4843" w:type="dxa"/>
          </w:tcPr>
          <w:p w:rsidR="00562E66" w:rsidRDefault="00562E66" w:rsidP="00562E66">
            <w:pPr>
              <w:tabs>
                <w:tab w:val="center" w:pos="4513"/>
                <w:tab w:val="left" w:pos="5626"/>
              </w:tabs>
              <w:rPr>
                <w:b/>
              </w:rPr>
            </w:pPr>
            <w:r>
              <w:rPr>
                <w:b/>
              </w:rPr>
              <w:t xml:space="preserve">Audit Date </w:t>
            </w:r>
            <w:r w:rsidR="005F7D85" w:rsidRPr="005F7D85">
              <w:t>13</w:t>
            </w:r>
            <w:r w:rsidR="005F7D85" w:rsidRPr="005F7D85">
              <w:rPr>
                <w:vertAlign w:val="superscript"/>
              </w:rPr>
              <w:t>th</w:t>
            </w:r>
            <w:r w:rsidR="005F7D85" w:rsidRPr="005F7D85">
              <w:t xml:space="preserve"> October 2017</w:t>
            </w:r>
          </w:p>
          <w:p w:rsidR="006E0C65" w:rsidRDefault="00562E66" w:rsidP="001C28E0">
            <w:pPr>
              <w:tabs>
                <w:tab w:val="center" w:pos="4513"/>
                <w:tab w:val="left" w:pos="5626"/>
              </w:tabs>
              <w:rPr>
                <w:b/>
              </w:rPr>
            </w:pPr>
            <w:r>
              <w:rPr>
                <w:b/>
              </w:rPr>
              <w:t xml:space="preserve">Audit Times </w:t>
            </w:r>
            <w:r w:rsidR="005F7D85" w:rsidRPr="005F7D85">
              <w:t>16:00-16:20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5F7D85">
        <w:t>business continuity management and compliance.</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28684E" w:rsidRPr="00AB4274" w:rsidRDefault="00AB4274" w:rsidP="00D137B6">
            <w:r w:rsidRPr="00AB4274">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6E0C65" w:rsidRDefault="005F7D85" w:rsidP="006E0C65">
            <w:r>
              <w:t>The auditor was presented with the Business Continuity Plan – IOM TDL Operations (V0.1draft – 29/9/17).</w:t>
            </w:r>
          </w:p>
          <w:p w:rsidR="005F7D85" w:rsidRDefault="005F7D85" w:rsidP="006E0C65">
            <w:r>
              <w:t xml:space="preserve">This document details business critical processes, immediate actions, response actions, essential IT systems and records, staff details, key contacts, further actions for loss of accommodation, staff, IT/data, </w:t>
            </w:r>
            <w:proofErr w:type="spellStart"/>
            <w:r>
              <w:t>telecomm’s</w:t>
            </w:r>
            <w:proofErr w:type="spellEnd"/>
            <w:r>
              <w:t>, paper records, and mains services, severe weather, and appendices A to E.</w:t>
            </w:r>
          </w:p>
          <w:p w:rsidR="005F7D85" w:rsidRDefault="005F7D85" w:rsidP="006E0C65"/>
          <w:p w:rsidR="005F7D85" w:rsidRDefault="005F7D85" w:rsidP="006E0C65">
            <w:pPr>
              <w:rPr>
                <w:b/>
                <w:color w:val="FF0000"/>
              </w:rPr>
            </w:pPr>
            <w:r w:rsidRPr="005F7D85">
              <w:rPr>
                <w:b/>
                <w:color w:val="FF0000"/>
              </w:rPr>
              <w:t>Annex A.17 in the Statement of Applicability refers to the General Recovery Plan. This needs to be updated to refer to the Business Continuity Plan, once the plan has been moved from its draft status.</w:t>
            </w:r>
          </w:p>
          <w:p w:rsidR="005F7D85" w:rsidRDefault="005F7D85" w:rsidP="006E0C65">
            <w:pPr>
              <w:rPr>
                <w:b/>
                <w:color w:val="FF0000"/>
              </w:rPr>
            </w:pPr>
          </w:p>
          <w:p w:rsidR="005F7D85" w:rsidRDefault="005F7D85" w:rsidP="006E0C65">
            <w:r>
              <w:t>A.18.1.2 – Intellectual property rights</w:t>
            </w:r>
          </w:p>
          <w:p w:rsidR="005F7D85" w:rsidRDefault="005F7D85" w:rsidP="006E0C65">
            <w:r>
              <w:t>Copyright protection detailed in the website (</w:t>
            </w:r>
            <w:r w:rsidRPr="005F7D85">
              <w:rPr>
                <w:b/>
                <w:color w:val="1F497D" w:themeColor="text2"/>
              </w:rPr>
              <w:t>see Sample 20</w:t>
            </w:r>
            <w:r>
              <w:t>) – Copyright © 2017 Trade Distribution Ltd All Rights Reserved.</w:t>
            </w:r>
          </w:p>
          <w:p w:rsidR="005F7D85" w:rsidRPr="005F7D85" w:rsidRDefault="005F7D85" w:rsidP="006E0C65">
            <w:r>
              <w:t>The Privacy Policy, retained on the website (</w:t>
            </w:r>
            <w:r w:rsidRPr="005F7D85">
              <w:rPr>
                <w:b/>
                <w:color w:val="1F497D" w:themeColor="text2"/>
              </w:rPr>
              <w:t>see Sample 21</w:t>
            </w:r>
            <w:r>
              <w:t>), details the website, use of cookies, contact &amp; communication, external links, social media platforms, and shortened links in social media. Its status is V1.0 dated July 2015.</w:t>
            </w:r>
          </w:p>
          <w:p w:rsidR="00D137B6" w:rsidRDefault="00D137B6" w:rsidP="006E0C65"/>
          <w:p w:rsidR="00D137B6" w:rsidRDefault="00D137B6" w:rsidP="006E0C65"/>
          <w:p w:rsidR="00A23D1F" w:rsidRDefault="00A23D1F" w:rsidP="006E0C65"/>
          <w:p w:rsidR="00A23D1F" w:rsidRDefault="00A23D1F" w:rsidP="006E0C65"/>
          <w:p w:rsidR="00D137B6" w:rsidRPr="006E0C65" w:rsidRDefault="00D137B6" w:rsidP="006E0C65"/>
          <w:p w:rsidR="006E0C65" w:rsidRPr="006E0C65" w:rsidRDefault="0043404E" w:rsidP="006E0C65">
            <w:pPr>
              <w:rPr>
                <w:b/>
              </w:rPr>
            </w:pPr>
            <w:r>
              <w:rPr>
                <w:b/>
              </w:rPr>
              <w:t>Signed (auditor)              G Burnell                                                                                             Date 13/10/17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A23D1F">
        <w:tc>
          <w:tcPr>
            <w:tcW w:w="2486" w:type="dxa"/>
            <w:shd w:val="clear" w:color="auto" w:fill="00B050"/>
          </w:tcPr>
          <w:p w:rsidR="006E0C65" w:rsidRDefault="006E0C65" w:rsidP="00D35723">
            <w:pPr>
              <w:tabs>
                <w:tab w:val="center" w:pos="4513"/>
                <w:tab w:val="left" w:pos="5626"/>
              </w:tabs>
              <w:rPr>
                <w:b/>
              </w:rPr>
            </w:pPr>
            <w:r>
              <w:rPr>
                <w:b/>
              </w:rPr>
              <w:lastRenderedPageBreak/>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A23D1F" w:rsidRDefault="00A23D1F" w:rsidP="00D35723">
            <w:pPr>
              <w:tabs>
                <w:tab w:val="center" w:pos="4513"/>
                <w:tab w:val="left" w:pos="5626"/>
              </w:tabs>
              <w:rPr>
                <w:i/>
                <w:sz w:val="20"/>
                <w:szCs w:val="20"/>
              </w:rPr>
            </w:pPr>
          </w:p>
          <w:p w:rsidR="006E0C65" w:rsidRPr="00A23D1F" w:rsidRDefault="00A23D1F" w:rsidP="00D35723">
            <w:pPr>
              <w:tabs>
                <w:tab w:val="center" w:pos="4513"/>
                <w:tab w:val="left" w:pos="5626"/>
              </w:tabs>
              <w:rPr>
                <w:szCs w:val="20"/>
              </w:rPr>
            </w:pPr>
            <w:r w:rsidRPr="00A23D1F">
              <w:rPr>
                <w:szCs w:val="20"/>
              </w:rPr>
              <w:t>The process passed the audit, with the following observation noted:</w:t>
            </w:r>
          </w:p>
          <w:p w:rsidR="005F7D85" w:rsidRPr="005F7D85" w:rsidRDefault="005F7D85" w:rsidP="005F7D85">
            <w:pPr>
              <w:rPr>
                <w:b/>
                <w:color w:val="FF0000"/>
              </w:rPr>
            </w:pPr>
            <w:r w:rsidRPr="005F7D85">
              <w:rPr>
                <w:b/>
                <w:color w:val="FF0000"/>
              </w:rPr>
              <w:t>Annex A.17 in the Statement of Applicability refers to the General Recovery Plan. This needs to be updated to refer to the Business Continuity Plan, once the plan has been moved from its draft status.</w:t>
            </w:r>
          </w:p>
          <w:p w:rsidR="00F244C9" w:rsidRDefault="00F244C9"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43404E" w:rsidRDefault="0043404E" w:rsidP="00D35723">
            <w:pPr>
              <w:tabs>
                <w:tab w:val="center" w:pos="4513"/>
                <w:tab w:val="left" w:pos="5626"/>
              </w:tabs>
              <w:rPr>
                <w:b/>
              </w:rPr>
            </w:pPr>
            <w:r>
              <w:rPr>
                <w:b/>
              </w:rPr>
              <w:t>Signed (auditor)              G Burnell                                                                                             Date 13/10/17</w:t>
            </w:r>
          </w:p>
          <w:p w:rsidR="006E0C65" w:rsidRPr="006E0C65" w:rsidRDefault="006E0C65" w:rsidP="00D35723">
            <w:pPr>
              <w:tabs>
                <w:tab w:val="center" w:pos="4513"/>
                <w:tab w:val="left" w:pos="5626"/>
              </w:tabs>
              <w:rPr>
                <w:b/>
              </w:rPr>
            </w:pPr>
            <w:r>
              <w:rPr>
                <w:b/>
              </w:rPr>
              <w:t>Signed (auditee)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A23D1F">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A23D1F">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E81FAC">
        <w:trPr>
          <w:trHeight w:val="3205"/>
        </w:trPr>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E81FAC" w:rsidRDefault="00E81FAC" w:rsidP="00D35723">
            <w:pPr>
              <w:tabs>
                <w:tab w:val="center" w:pos="4513"/>
                <w:tab w:val="left" w:pos="5626"/>
              </w:tabs>
              <w:rPr>
                <w:b/>
              </w:rPr>
            </w:pPr>
          </w:p>
          <w:p w:rsidR="000458ED" w:rsidRDefault="00E81FAC" w:rsidP="00D35723">
            <w:pPr>
              <w:tabs>
                <w:tab w:val="center" w:pos="4513"/>
                <w:tab w:val="left" w:pos="5626"/>
              </w:tabs>
              <w:rPr>
                <w:b/>
              </w:rPr>
            </w:pPr>
            <w:r w:rsidRPr="00E81FAC">
              <w:t>The Statement of Applicability, section A.17, has been updated to refer to the TDL Business Continuity Plan – section now reads</w:t>
            </w:r>
            <w:r>
              <w:rPr>
                <w:b/>
              </w:rPr>
              <w:t>:</w:t>
            </w:r>
          </w:p>
          <w:p w:rsidR="00E81FAC" w:rsidRDefault="00E81FAC" w:rsidP="00D35723">
            <w:pPr>
              <w:tabs>
                <w:tab w:val="center" w:pos="4513"/>
                <w:tab w:val="left" w:pos="5626"/>
              </w:tabs>
              <w:rPr>
                <w:b/>
              </w:rPr>
            </w:pPr>
          </w:p>
          <w:p w:rsidR="00E81FAC" w:rsidRPr="00C3149B" w:rsidRDefault="00E81FAC" w:rsidP="00E81FAC">
            <w:pPr>
              <w:tabs>
                <w:tab w:val="left" w:pos="1125"/>
              </w:tabs>
              <w:rPr>
                <w:sz w:val="20"/>
              </w:rPr>
            </w:pPr>
            <w:r w:rsidRPr="00E81FAC">
              <w:rPr>
                <w:sz w:val="20"/>
              </w:rPr>
              <w:t xml:space="preserve">The organisation has prepared a </w:t>
            </w:r>
            <w:r w:rsidRPr="00E81FAC">
              <w:rPr>
                <w:b/>
                <w:sz w:val="20"/>
                <w:u w:val="single"/>
              </w:rPr>
              <w:t>Business Continuity Plan</w:t>
            </w:r>
            <w:r w:rsidRPr="00E81FAC">
              <w:rPr>
                <w:sz w:val="20"/>
              </w:rPr>
              <w:t xml:space="preserve"> that will be invoked in the event of an incident or emergency situation to ensure information security and its continuity in the event of crisis or disaster.</w:t>
            </w:r>
          </w:p>
          <w:p w:rsidR="00E81FAC" w:rsidRDefault="00E81FAC"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E81FAC">
            <w:pPr>
              <w:tabs>
                <w:tab w:val="center" w:pos="4513"/>
                <w:tab w:val="left" w:pos="5626"/>
              </w:tabs>
              <w:rPr>
                <w:b/>
              </w:rPr>
            </w:pPr>
            <w:r>
              <w:rPr>
                <w:b/>
              </w:rPr>
              <w:t xml:space="preserve">Signed (process owner)         </w:t>
            </w:r>
            <w:r w:rsidR="00E81FAC" w:rsidRPr="00E81FAC">
              <w:rPr>
                <w:b/>
                <w:color w:val="17365D" w:themeColor="text2" w:themeShade="BF"/>
              </w:rPr>
              <w:t>A Pickett</w:t>
            </w:r>
            <w:r w:rsidRPr="00E81FAC">
              <w:rPr>
                <w:b/>
                <w:color w:val="17365D" w:themeColor="text2" w:themeShade="BF"/>
              </w:rPr>
              <w:t xml:space="preserve">                                                                    </w:t>
            </w:r>
            <w:r>
              <w:rPr>
                <w:b/>
              </w:rPr>
              <w:t>Date</w:t>
            </w:r>
            <w:r w:rsidR="00E81FAC">
              <w:rPr>
                <w:b/>
              </w:rPr>
              <w:t xml:space="preserve">  </w:t>
            </w:r>
            <w:r w:rsidR="00E81FAC" w:rsidRPr="00E81FAC">
              <w:rPr>
                <w:b/>
                <w:color w:val="17365D" w:themeColor="text2" w:themeShade="BF"/>
              </w:rPr>
              <w:t>10/11/17</w:t>
            </w:r>
          </w:p>
        </w:tc>
      </w:tr>
    </w:tbl>
    <w:p w:rsidR="006E0C65" w:rsidRPr="0034506C" w:rsidRDefault="006E0C65" w:rsidP="00D35723">
      <w:pPr>
        <w:tabs>
          <w:tab w:val="center" w:pos="4513"/>
          <w:tab w:val="left" w:pos="5626"/>
        </w:tabs>
        <w:spacing w:after="0"/>
        <w:rPr>
          <w:b/>
        </w:rPr>
      </w:pPr>
      <w:bookmarkStart w:id="0" w:name="_GoBack"/>
      <w:bookmarkEnd w:id="0"/>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74" w:rsidRDefault="00AB4274" w:rsidP="005D700E">
      <w:pPr>
        <w:spacing w:after="0" w:line="240" w:lineRule="auto"/>
      </w:pPr>
      <w:r>
        <w:separator/>
      </w:r>
    </w:p>
  </w:endnote>
  <w:endnote w:type="continuationSeparator" w:id="0">
    <w:p w:rsidR="00AB4274" w:rsidRDefault="00AB4274"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74" w:rsidRDefault="00AB4274" w:rsidP="005D700E">
      <w:pPr>
        <w:spacing w:after="0" w:line="240" w:lineRule="auto"/>
      </w:pPr>
      <w:r>
        <w:separator/>
      </w:r>
    </w:p>
  </w:footnote>
  <w:footnote w:type="continuationSeparator" w:id="0">
    <w:p w:rsidR="00AB4274" w:rsidRDefault="00AB4274"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AB4274" w:rsidTr="00D35723">
      <w:tc>
        <w:tcPr>
          <w:tcW w:w="9640" w:type="dxa"/>
          <w:gridSpan w:val="3"/>
        </w:tcPr>
        <w:p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rsidTr="00D35723">
      <w:tc>
        <w:tcPr>
          <w:tcW w:w="9640" w:type="dxa"/>
          <w:gridSpan w:val="3"/>
        </w:tcPr>
        <w:p w:rsidR="00AB4274" w:rsidRPr="00314F63" w:rsidRDefault="00AB4274" w:rsidP="00D35723">
          <w:pPr>
            <w:pStyle w:val="Header"/>
            <w:jc w:val="center"/>
            <w:rPr>
              <w:b/>
              <w:sz w:val="32"/>
              <w:szCs w:val="32"/>
            </w:rPr>
          </w:pPr>
          <w:r>
            <w:rPr>
              <w:b/>
              <w:sz w:val="32"/>
              <w:szCs w:val="32"/>
            </w:rPr>
            <w:t>Audit Report</w:t>
          </w:r>
        </w:p>
        <w:p w:rsidR="00AB4274" w:rsidRDefault="00AB4274" w:rsidP="00D35723">
          <w:pPr>
            <w:pStyle w:val="Header"/>
            <w:jc w:val="center"/>
          </w:pPr>
        </w:p>
      </w:tc>
    </w:tr>
    <w:tr w:rsidR="00AB4274" w:rsidTr="00D35723">
      <w:tc>
        <w:tcPr>
          <w:tcW w:w="9640" w:type="dxa"/>
          <w:gridSpan w:val="3"/>
        </w:tcPr>
        <w:p w:rsidR="00AB4274" w:rsidRDefault="00AB4274" w:rsidP="00D137B6">
          <w:pPr>
            <w:pStyle w:val="Header"/>
            <w:jc w:val="center"/>
            <w:rPr>
              <w:b/>
              <w:sz w:val="28"/>
              <w:szCs w:val="28"/>
            </w:rPr>
          </w:pPr>
          <w:r>
            <w:rPr>
              <w:b/>
              <w:sz w:val="28"/>
              <w:szCs w:val="28"/>
            </w:rPr>
            <w:t>BS ISO/IEC 27001:2013</w:t>
          </w:r>
        </w:p>
        <w:p w:rsidR="00AB4274" w:rsidRPr="00314F63" w:rsidRDefault="00AB4274" w:rsidP="00D137B6">
          <w:pPr>
            <w:pStyle w:val="Header"/>
            <w:jc w:val="center"/>
            <w:rPr>
              <w:b/>
              <w:sz w:val="28"/>
              <w:szCs w:val="28"/>
            </w:rPr>
          </w:pPr>
          <w:r>
            <w:rPr>
              <w:b/>
              <w:sz w:val="28"/>
              <w:szCs w:val="28"/>
            </w:rPr>
            <w:t>BS EN ISO 14001:2015</w:t>
          </w:r>
        </w:p>
      </w:tc>
    </w:tr>
    <w:tr w:rsidR="00AB4274" w:rsidTr="00D35723">
      <w:tc>
        <w:tcPr>
          <w:tcW w:w="2127" w:type="dxa"/>
        </w:tcPr>
        <w:p w:rsidR="00AB4274" w:rsidRPr="006F6A8D" w:rsidRDefault="00AB4274" w:rsidP="006F6A8D">
          <w:pPr>
            <w:pStyle w:val="Header"/>
            <w:rPr>
              <w:b/>
              <w:sz w:val="24"/>
              <w:szCs w:val="24"/>
            </w:rPr>
          </w:pPr>
          <w:r w:rsidRPr="006F6A8D">
            <w:rPr>
              <w:b/>
              <w:sz w:val="24"/>
              <w:szCs w:val="24"/>
            </w:rPr>
            <w:t>Issue 1</w:t>
          </w:r>
        </w:p>
      </w:tc>
      <w:tc>
        <w:tcPr>
          <w:tcW w:w="3402" w:type="dxa"/>
        </w:tcPr>
        <w:p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rsidR="00AB4274" w:rsidRPr="00314F63" w:rsidRDefault="00AB4274" w:rsidP="00D35723">
          <w:pPr>
            <w:pStyle w:val="Header"/>
            <w:rPr>
              <w:b/>
              <w:sz w:val="24"/>
              <w:szCs w:val="24"/>
            </w:rPr>
          </w:pPr>
          <w:r w:rsidRPr="00314F63">
            <w:rPr>
              <w:b/>
              <w:sz w:val="24"/>
              <w:szCs w:val="24"/>
            </w:rPr>
            <w:t>Authorised by:-</w:t>
          </w:r>
          <w:r>
            <w:rPr>
              <w:b/>
              <w:sz w:val="24"/>
              <w:szCs w:val="24"/>
            </w:rPr>
            <w:t xml:space="preserve"> K Burnell</w:t>
          </w:r>
        </w:p>
      </w:tc>
    </w:tr>
    <w:tr w:rsidR="00AB4274" w:rsidTr="00D35723">
      <w:tc>
        <w:tcPr>
          <w:tcW w:w="2127" w:type="dxa"/>
        </w:tcPr>
        <w:sdt>
          <w:sdtPr>
            <w:id w:val="250395305"/>
            <w:docPartObj>
              <w:docPartGallery w:val="Page Numbers (Top of Page)"/>
              <w:docPartUnique/>
            </w:docPartObj>
          </w:sdtPr>
          <w:sdtEndPr/>
          <w:sdtContent>
            <w:p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rsidR="00AB4274" w:rsidRDefault="00AB4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B6537"/>
    <w:rsid w:val="000F1ED6"/>
    <w:rsid w:val="001207D8"/>
    <w:rsid w:val="001529ED"/>
    <w:rsid w:val="001A14D6"/>
    <w:rsid w:val="001C28E0"/>
    <w:rsid w:val="001C3274"/>
    <w:rsid w:val="001C3DD9"/>
    <w:rsid w:val="00223263"/>
    <w:rsid w:val="002718E8"/>
    <w:rsid w:val="002747DE"/>
    <w:rsid w:val="0028684E"/>
    <w:rsid w:val="002C6843"/>
    <w:rsid w:val="002E784E"/>
    <w:rsid w:val="0034097D"/>
    <w:rsid w:val="0034506C"/>
    <w:rsid w:val="003913D3"/>
    <w:rsid w:val="003B2DB6"/>
    <w:rsid w:val="003D6B7A"/>
    <w:rsid w:val="00405813"/>
    <w:rsid w:val="0043404E"/>
    <w:rsid w:val="00436D98"/>
    <w:rsid w:val="004403B8"/>
    <w:rsid w:val="004459FB"/>
    <w:rsid w:val="004769FF"/>
    <w:rsid w:val="004A0F70"/>
    <w:rsid w:val="004D5556"/>
    <w:rsid w:val="00516955"/>
    <w:rsid w:val="00562E66"/>
    <w:rsid w:val="005C4C8A"/>
    <w:rsid w:val="005D700E"/>
    <w:rsid w:val="005F7D85"/>
    <w:rsid w:val="006145AB"/>
    <w:rsid w:val="006307C9"/>
    <w:rsid w:val="00633FC8"/>
    <w:rsid w:val="00666281"/>
    <w:rsid w:val="006D437E"/>
    <w:rsid w:val="006E0C65"/>
    <w:rsid w:val="006F6A8D"/>
    <w:rsid w:val="006F7C86"/>
    <w:rsid w:val="00700223"/>
    <w:rsid w:val="007E39FC"/>
    <w:rsid w:val="00850B1B"/>
    <w:rsid w:val="008C6243"/>
    <w:rsid w:val="008F5786"/>
    <w:rsid w:val="00933D4B"/>
    <w:rsid w:val="009A08C2"/>
    <w:rsid w:val="009B4D19"/>
    <w:rsid w:val="009B7F65"/>
    <w:rsid w:val="009E0092"/>
    <w:rsid w:val="009E41BC"/>
    <w:rsid w:val="009F4C40"/>
    <w:rsid w:val="00A23D1F"/>
    <w:rsid w:val="00A904D8"/>
    <w:rsid w:val="00A93292"/>
    <w:rsid w:val="00AA3ECB"/>
    <w:rsid w:val="00AB4274"/>
    <w:rsid w:val="00AC6799"/>
    <w:rsid w:val="00AE4DB8"/>
    <w:rsid w:val="00B07B51"/>
    <w:rsid w:val="00B11078"/>
    <w:rsid w:val="00B251A4"/>
    <w:rsid w:val="00B26696"/>
    <w:rsid w:val="00BA5C5C"/>
    <w:rsid w:val="00BD7BD9"/>
    <w:rsid w:val="00BF30AF"/>
    <w:rsid w:val="00C116ED"/>
    <w:rsid w:val="00C72168"/>
    <w:rsid w:val="00C91D3E"/>
    <w:rsid w:val="00CB2662"/>
    <w:rsid w:val="00CF47F8"/>
    <w:rsid w:val="00D05F54"/>
    <w:rsid w:val="00D06EAB"/>
    <w:rsid w:val="00D137B6"/>
    <w:rsid w:val="00D35723"/>
    <w:rsid w:val="00DA5787"/>
    <w:rsid w:val="00DC4999"/>
    <w:rsid w:val="00E62B02"/>
    <w:rsid w:val="00E81FAC"/>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43</cp:revision>
  <dcterms:created xsi:type="dcterms:W3CDTF">2014-07-09T11:48:00Z</dcterms:created>
  <dcterms:modified xsi:type="dcterms:W3CDTF">2017-11-10T15:19:00Z</dcterms:modified>
</cp:coreProperties>
</file>