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7525CE01"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7F0128">
              <w:rPr>
                <w:b/>
              </w:rPr>
              <w:t>20 03 10 56</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1ABC2029"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EE718A">
              <w:rPr>
                <w:bCs/>
              </w:rPr>
              <w:t>C Ramsey, S Downe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1BDE4A92" w:rsidR="00562E66" w:rsidRDefault="00562E66" w:rsidP="00562E66">
            <w:pPr>
              <w:tabs>
                <w:tab w:val="center" w:pos="4513"/>
                <w:tab w:val="left" w:pos="5626"/>
              </w:tabs>
              <w:rPr>
                <w:b/>
              </w:rPr>
            </w:pPr>
            <w:r>
              <w:rPr>
                <w:b/>
              </w:rPr>
              <w:t xml:space="preserve">Audit Date </w:t>
            </w:r>
            <w:r w:rsidR="00FE5939" w:rsidRPr="00FE5939">
              <w:rPr>
                <w:bCs/>
              </w:rPr>
              <w:t>10</w:t>
            </w:r>
            <w:r w:rsidR="00FE5939" w:rsidRPr="00FE5939">
              <w:rPr>
                <w:bCs/>
                <w:vertAlign w:val="superscript"/>
              </w:rPr>
              <w:t>th</w:t>
            </w:r>
            <w:r w:rsidR="00FE5939" w:rsidRPr="00FE5939">
              <w:rPr>
                <w:bCs/>
              </w:rPr>
              <w:t xml:space="preserve"> </w:t>
            </w:r>
            <w:r w:rsidR="008C5F63">
              <w:rPr>
                <w:bCs/>
              </w:rPr>
              <w:t>and 12</w:t>
            </w:r>
            <w:r w:rsidR="008C5F63" w:rsidRPr="008C5F63">
              <w:rPr>
                <w:bCs/>
                <w:vertAlign w:val="superscript"/>
              </w:rPr>
              <w:t>th</w:t>
            </w:r>
            <w:r w:rsidR="008C5F63">
              <w:rPr>
                <w:bCs/>
              </w:rPr>
              <w:t xml:space="preserve"> </w:t>
            </w:r>
            <w:r w:rsidR="00FE5939" w:rsidRPr="00FE5939">
              <w:rPr>
                <w:bCs/>
              </w:rPr>
              <w:t>March 2020</w:t>
            </w:r>
          </w:p>
          <w:p w14:paraId="2C7DB514" w14:textId="68FC6D50" w:rsidR="007B5F83" w:rsidRPr="007B5F83" w:rsidRDefault="00562E66" w:rsidP="008C5F63">
            <w:r>
              <w:rPr>
                <w:b/>
              </w:rPr>
              <w:t xml:space="preserve">Audit Times </w:t>
            </w:r>
            <w:r w:rsidR="00627B47">
              <w:t xml:space="preserve">11:50-12:00, </w:t>
            </w:r>
            <w:r w:rsidR="00FE5939">
              <w:t>15:20-15:35</w:t>
            </w:r>
            <w:r w:rsidR="008C5F63">
              <w:t xml:space="preserve"> (10/3/20); 10:30-11:55 (12/3/20)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7A6396A2" w:rsidR="00031F28" w:rsidRDefault="001C28E0" w:rsidP="005E1467">
      <w:pPr>
        <w:spacing w:after="0"/>
      </w:pPr>
      <w:r>
        <w:t xml:space="preserve">The audit reviewed </w:t>
      </w:r>
      <w:r w:rsidR="004741E6">
        <w:t>development and maintenance (Annex A.14)</w:t>
      </w:r>
      <w:r w:rsidR="00C343F4">
        <w:t xml:space="preserve"> and cryptographic controls (Annex A.10) </w:t>
      </w:r>
      <w:r w:rsidR="004741E6">
        <w:t xml:space="preserve">which included a review of the non-applicable </w:t>
      </w:r>
      <w:r w:rsidR="007C3DCD">
        <w:t>Annex A controls.</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CF3FFEF" w14:textId="77777777" w:rsidR="002D2658" w:rsidRDefault="002D2658" w:rsidP="002D2658">
            <w:r>
              <w:t>Statement of Applicability (Issue 1.2 – July 2018)</w:t>
            </w:r>
          </w:p>
          <w:p w14:paraId="658D81A8" w14:textId="77777777" w:rsidR="005E1467" w:rsidRDefault="00DC18FC" w:rsidP="005E1467">
            <w:r>
              <w:t>Change management Process (Issue 1 – 1/8/17)</w:t>
            </w:r>
          </w:p>
          <w:p w14:paraId="1A6F031F" w14:textId="702D1E5F" w:rsidR="00DC18FC" w:rsidRPr="006E0C65" w:rsidRDefault="00941B7A" w:rsidP="005E1467">
            <w:r>
              <w:t>H&amp;B Group IT Policy (v2.0 – 1/7/17)</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7006073D" w:rsidR="00D62851" w:rsidRDefault="00D62851" w:rsidP="00031F28">
            <w:pPr>
              <w:rPr>
                <w:bCs/>
                <w:color w:val="FF0000"/>
              </w:rPr>
            </w:pPr>
          </w:p>
          <w:p w14:paraId="35A41043" w14:textId="77777777" w:rsidR="00FE5939" w:rsidRDefault="00FE5939" w:rsidP="00FE5939">
            <w:r>
              <w:t>ISO 27001 – Statement of Applicability (Issue 1.2 – Ju</w:t>
            </w:r>
            <w:r w:rsidRPr="005451EA">
              <w:t>ly 2018):</w:t>
            </w:r>
          </w:p>
          <w:p w14:paraId="7210A6D7" w14:textId="77777777" w:rsidR="00FE5939" w:rsidRPr="005451EA" w:rsidRDefault="00FE5939" w:rsidP="00FE5939">
            <w:pPr>
              <w:pStyle w:val="ListParagraph"/>
              <w:numPr>
                <w:ilvl w:val="0"/>
                <w:numId w:val="8"/>
              </w:numPr>
              <w:spacing w:after="0"/>
            </w:pPr>
            <w:r>
              <w:t xml:space="preserve">14.1.1 – </w:t>
            </w:r>
            <w:r w:rsidRPr="005451EA">
              <w:t>Information security requirements analysis and specification:</w:t>
            </w:r>
          </w:p>
          <w:p w14:paraId="03DD7168" w14:textId="77777777" w:rsidR="00FE5939" w:rsidRPr="005451EA" w:rsidRDefault="00FE5939" w:rsidP="00FE5939">
            <w:pPr>
              <w:pStyle w:val="ListParagraph"/>
              <w:numPr>
                <w:ilvl w:val="0"/>
                <w:numId w:val="9"/>
              </w:numPr>
              <w:spacing w:after="0"/>
            </w:pPr>
            <w:r w:rsidRPr="005451EA">
              <w:t xml:space="preserve">New </w:t>
            </w:r>
            <w:r>
              <w:t>i</w:t>
            </w:r>
            <w:r w:rsidRPr="005451EA">
              <w:t xml:space="preserve">nformation </w:t>
            </w:r>
            <w:r>
              <w:t>s</w:t>
            </w:r>
            <w:r w:rsidRPr="005451EA">
              <w:t>ystems</w:t>
            </w:r>
          </w:p>
          <w:p w14:paraId="61545A74" w14:textId="77777777" w:rsidR="00FE5939" w:rsidRPr="005451EA" w:rsidRDefault="00FE5939" w:rsidP="00FE5939">
            <w:pPr>
              <w:pStyle w:val="ListParagraph"/>
              <w:numPr>
                <w:ilvl w:val="0"/>
                <w:numId w:val="9"/>
              </w:numPr>
              <w:spacing w:after="0"/>
            </w:pPr>
            <w:r w:rsidRPr="005451EA">
              <w:t xml:space="preserve">Enhancements to </w:t>
            </w:r>
            <w:r>
              <w:t>e</w:t>
            </w:r>
            <w:r w:rsidRPr="005451EA">
              <w:t xml:space="preserve">xisting </w:t>
            </w:r>
            <w:r>
              <w:t>s</w:t>
            </w:r>
            <w:r w:rsidRPr="005451EA">
              <w:t>ystems</w:t>
            </w:r>
          </w:p>
          <w:p w14:paraId="7C1EEC67" w14:textId="77777777" w:rsidR="00FE5939" w:rsidRPr="005451EA" w:rsidRDefault="00FE5939" w:rsidP="00FE5939">
            <w:pPr>
              <w:ind w:left="720"/>
              <w:rPr>
                <w:color w:val="0070C0"/>
              </w:rPr>
            </w:pPr>
            <w:r w:rsidRPr="005451EA">
              <w:rPr>
                <w:color w:val="0070C0"/>
              </w:rPr>
              <w:t>Change Management Process</w:t>
            </w:r>
          </w:p>
          <w:p w14:paraId="49602A92" w14:textId="77777777" w:rsidR="00FE5939" w:rsidRDefault="00FE5939" w:rsidP="00FE5939">
            <w:pPr>
              <w:pStyle w:val="ListParagraph"/>
              <w:numPr>
                <w:ilvl w:val="0"/>
                <w:numId w:val="8"/>
              </w:numPr>
              <w:spacing w:after="0"/>
            </w:pPr>
            <w:r>
              <w:t>14.1.2 – Securing application services</w:t>
            </w:r>
          </w:p>
          <w:p w14:paraId="094E0653" w14:textId="77777777" w:rsidR="00FE5939" w:rsidRPr="005451EA" w:rsidRDefault="00FE5939" w:rsidP="00FE5939">
            <w:pPr>
              <w:pStyle w:val="ListParagraph"/>
              <w:spacing w:after="0"/>
              <w:rPr>
                <w:color w:val="0070C0"/>
              </w:rPr>
            </w:pPr>
            <w:r w:rsidRPr="005451EA">
              <w:rPr>
                <w:color w:val="0070C0"/>
              </w:rPr>
              <w:t>Emails are encrypted</w:t>
            </w:r>
          </w:p>
          <w:p w14:paraId="1155451E" w14:textId="77777777" w:rsidR="00FE5939" w:rsidRDefault="00FE5939" w:rsidP="00FE5939">
            <w:pPr>
              <w:pStyle w:val="ListParagraph"/>
              <w:numPr>
                <w:ilvl w:val="0"/>
                <w:numId w:val="8"/>
              </w:numPr>
              <w:spacing w:after="0"/>
            </w:pPr>
            <w:r>
              <w:t>14.1.3 – Protecting application services transactions</w:t>
            </w:r>
          </w:p>
          <w:p w14:paraId="0F4954C3" w14:textId="77777777" w:rsidR="00FE5939" w:rsidRPr="005451EA" w:rsidRDefault="00FE5939" w:rsidP="00FE5939">
            <w:pPr>
              <w:pStyle w:val="ListParagraph"/>
              <w:spacing w:after="0"/>
              <w:rPr>
                <w:color w:val="0070C0"/>
              </w:rPr>
            </w:pPr>
            <w:r w:rsidRPr="005451EA">
              <w:rPr>
                <w:color w:val="0070C0"/>
              </w:rPr>
              <w:t>N/A – No payment card system</w:t>
            </w:r>
          </w:p>
          <w:p w14:paraId="0B456D8C" w14:textId="77777777" w:rsidR="00FE5939" w:rsidRDefault="00FE5939" w:rsidP="00FE5939">
            <w:pPr>
              <w:pStyle w:val="ListParagraph"/>
              <w:numPr>
                <w:ilvl w:val="0"/>
                <w:numId w:val="8"/>
              </w:numPr>
              <w:spacing w:after="0"/>
            </w:pPr>
            <w:r>
              <w:t>14.2.1 – Secure development policy</w:t>
            </w:r>
          </w:p>
          <w:p w14:paraId="018849E3" w14:textId="77777777" w:rsidR="00FE5939" w:rsidRPr="005451EA" w:rsidRDefault="00FE5939" w:rsidP="00FE5939">
            <w:pPr>
              <w:pStyle w:val="ListParagraph"/>
              <w:spacing w:after="0"/>
              <w:rPr>
                <w:color w:val="0070C0"/>
              </w:rPr>
            </w:pPr>
            <w:r w:rsidRPr="005451EA">
              <w:rPr>
                <w:color w:val="0070C0"/>
              </w:rPr>
              <w:t>N/A – No development</w:t>
            </w:r>
          </w:p>
          <w:p w14:paraId="64873B84" w14:textId="77777777" w:rsidR="00FE5939" w:rsidRDefault="00FE5939" w:rsidP="00FE5939">
            <w:pPr>
              <w:pStyle w:val="ListParagraph"/>
              <w:numPr>
                <w:ilvl w:val="0"/>
                <w:numId w:val="8"/>
              </w:numPr>
              <w:spacing w:after="0"/>
            </w:pPr>
            <w:r>
              <w:t>14.2.2 – System change control procedures</w:t>
            </w:r>
          </w:p>
          <w:p w14:paraId="33031DAF" w14:textId="77777777" w:rsidR="00FE5939" w:rsidRPr="005451EA" w:rsidRDefault="00FE5939" w:rsidP="00FE5939">
            <w:pPr>
              <w:pStyle w:val="ListParagraph"/>
              <w:spacing w:after="0"/>
              <w:rPr>
                <w:color w:val="0070C0"/>
              </w:rPr>
            </w:pPr>
            <w:r w:rsidRPr="005451EA">
              <w:rPr>
                <w:color w:val="0070C0"/>
              </w:rPr>
              <w:t>N/A – No development</w:t>
            </w:r>
          </w:p>
          <w:p w14:paraId="199682A4" w14:textId="77777777" w:rsidR="00FE5939" w:rsidRDefault="00FE5939" w:rsidP="00FE5939">
            <w:pPr>
              <w:pStyle w:val="ListParagraph"/>
              <w:numPr>
                <w:ilvl w:val="0"/>
                <w:numId w:val="8"/>
              </w:numPr>
              <w:spacing w:after="0"/>
            </w:pPr>
            <w:r>
              <w:t>14.2.3 – Technical review after changes</w:t>
            </w:r>
          </w:p>
          <w:p w14:paraId="3E1E8CAB" w14:textId="77777777" w:rsidR="00FE5939" w:rsidRPr="005451EA" w:rsidRDefault="00FE5939" w:rsidP="00FE5939">
            <w:pPr>
              <w:pStyle w:val="ListParagraph"/>
              <w:spacing w:after="0"/>
              <w:rPr>
                <w:color w:val="0070C0"/>
              </w:rPr>
            </w:pPr>
            <w:r w:rsidRPr="005451EA">
              <w:rPr>
                <w:color w:val="0070C0"/>
              </w:rPr>
              <w:t>Change Management Process</w:t>
            </w:r>
          </w:p>
          <w:p w14:paraId="350753B7" w14:textId="77777777" w:rsidR="00FE5939" w:rsidRDefault="00FE5939" w:rsidP="00FE5939">
            <w:pPr>
              <w:pStyle w:val="ListParagraph"/>
              <w:numPr>
                <w:ilvl w:val="0"/>
                <w:numId w:val="8"/>
              </w:numPr>
              <w:spacing w:after="0"/>
            </w:pPr>
            <w:r>
              <w:t>14.2.4 – Res</w:t>
            </w:r>
            <w:r w:rsidRPr="005451EA">
              <w:t>tricting</w:t>
            </w:r>
            <w:r>
              <w:t xml:space="preserve"> changes to </w:t>
            </w:r>
            <w:r w:rsidRPr="005451EA">
              <w:t>software packages</w:t>
            </w:r>
          </w:p>
          <w:p w14:paraId="752353EA" w14:textId="77777777" w:rsidR="00FE5939" w:rsidRPr="005451EA" w:rsidRDefault="00FE5939" w:rsidP="00FE5939">
            <w:pPr>
              <w:pStyle w:val="ListParagraph"/>
              <w:spacing w:after="0"/>
              <w:rPr>
                <w:color w:val="0070C0"/>
              </w:rPr>
            </w:pPr>
            <w:r w:rsidRPr="005451EA">
              <w:rPr>
                <w:color w:val="0070C0"/>
              </w:rPr>
              <w:t>Group IT Policy</w:t>
            </w:r>
          </w:p>
          <w:p w14:paraId="6757404D" w14:textId="77777777" w:rsidR="00FE5939" w:rsidRPr="005451EA" w:rsidRDefault="00FE5939" w:rsidP="00FE5939">
            <w:pPr>
              <w:pStyle w:val="ListParagraph"/>
              <w:numPr>
                <w:ilvl w:val="0"/>
                <w:numId w:val="8"/>
              </w:numPr>
              <w:spacing w:after="0"/>
              <w:rPr>
                <w:highlight w:val="yellow"/>
              </w:rPr>
            </w:pPr>
            <w:r w:rsidRPr="005451EA">
              <w:rPr>
                <w:highlight w:val="yellow"/>
              </w:rPr>
              <w:t>14.2.5 – Secure system engineering principles</w:t>
            </w:r>
          </w:p>
          <w:p w14:paraId="194AB366" w14:textId="77777777" w:rsidR="00FE5939" w:rsidRDefault="00FE5939" w:rsidP="00FE5939">
            <w:pPr>
              <w:pStyle w:val="ListParagraph"/>
              <w:spacing w:after="0"/>
            </w:pPr>
            <w:r w:rsidRPr="005451EA">
              <w:rPr>
                <w:highlight w:val="yellow"/>
              </w:rPr>
              <w:t>N/A – Statement of Applicability refers to 12.1.4, should be 14.2.1 or no development.</w:t>
            </w:r>
          </w:p>
          <w:p w14:paraId="61D11955" w14:textId="77777777" w:rsidR="00FE5939" w:rsidRDefault="00FE5939" w:rsidP="00FE5939">
            <w:pPr>
              <w:pStyle w:val="ListParagraph"/>
              <w:numPr>
                <w:ilvl w:val="0"/>
                <w:numId w:val="8"/>
              </w:numPr>
              <w:spacing w:after="0"/>
            </w:pPr>
            <w:r>
              <w:lastRenderedPageBreak/>
              <w:t xml:space="preserve">14.2.6 – </w:t>
            </w:r>
            <w:r w:rsidRPr="005451EA">
              <w:t>Secure development environment</w:t>
            </w:r>
          </w:p>
          <w:p w14:paraId="2DC5C472" w14:textId="77777777" w:rsidR="00FE5939" w:rsidRPr="005451EA" w:rsidRDefault="00FE5939" w:rsidP="00FE5939">
            <w:pPr>
              <w:pStyle w:val="ListParagraph"/>
              <w:spacing w:after="0"/>
              <w:rPr>
                <w:color w:val="0070C0"/>
              </w:rPr>
            </w:pPr>
            <w:r w:rsidRPr="005451EA">
              <w:rPr>
                <w:color w:val="0070C0"/>
              </w:rPr>
              <w:t>N/A – No development</w:t>
            </w:r>
          </w:p>
          <w:p w14:paraId="170E18D7" w14:textId="77777777" w:rsidR="00FE5939" w:rsidRDefault="00FE5939" w:rsidP="00FE5939">
            <w:pPr>
              <w:pStyle w:val="ListParagraph"/>
              <w:numPr>
                <w:ilvl w:val="0"/>
                <w:numId w:val="8"/>
              </w:numPr>
              <w:spacing w:after="0"/>
            </w:pPr>
            <w:r>
              <w:t xml:space="preserve">14.2.7 – </w:t>
            </w:r>
            <w:r w:rsidRPr="005451EA">
              <w:t>Outsourced development</w:t>
            </w:r>
          </w:p>
          <w:p w14:paraId="12DBB844" w14:textId="77777777" w:rsidR="00FE5939" w:rsidRPr="005451EA" w:rsidRDefault="00FE5939" w:rsidP="00FE5939">
            <w:pPr>
              <w:pStyle w:val="ListParagraph"/>
              <w:spacing w:after="0"/>
              <w:rPr>
                <w:color w:val="0070C0"/>
              </w:rPr>
            </w:pPr>
            <w:r w:rsidRPr="005451EA">
              <w:rPr>
                <w:color w:val="0070C0"/>
              </w:rPr>
              <w:t>N/A (See 14.2.6)</w:t>
            </w:r>
          </w:p>
          <w:p w14:paraId="1238B91C" w14:textId="77777777" w:rsidR="00FE5939" w:rsidRDefault="00FE5939" w:rsidP="00FE5939">
            <w:pPr>
              <w:pStyle w:val="ListParagraph"/>
              <w:numPr>
                <w:ilvl w:val="0"/>
                <w:numId w:val="8"/>
              </w:numPr>
              <w:spacing w:after="0"/>
            </w:pPr>
            <w:r>
              <w:t>14.2.8 – System security testing</w:t>
            </w:r>
          </w:p>
          <w:p w14:paraId="252227B0" w14:textId="77777777" w:rsidR="00FE5939" w:rsidRPr="005451EA" w:rsidRDefault="00FE5939" w:rsidP="00FE5939">
            <w:pPr>
              <w:pStyle w:val="ListParagraph"/>
              <w:spacing w:after="0"/>
              <w:rPr>
                <w:color w:val="0070C0"/>
              </w:rPr>
            </w:pPr>
            <w:r w:rsidRPr="005451EA">
              <w:rPr>
                <w:color w:val="0070C0"/>
              </w:rPr>
              <w:t>N/A (See 14.2.6)</w:t>
            </w:r>
          </w:p>
          <w:p w14:paraId="2A594D7A" w14:textId="77777777" w:rsidR="00FE5939" w:rsidRDefault="00FE5939" w:rsidP="00FE5939">
            <w:pPr>
              <w:pStyle w:val="ListParagraph"/>
              <w:numPr>
                <w:ilvl w:val="0"/>
                <w:numId w:val="8"/>
              </w:numPr>
              <w:spacing w:after="0"/>
            </w:pPr>
            <w:r>
              <w:t>14.2.9 – System acceptance testing</w:t>
            </w:r>
          </w:p>
          <w:p w14:paraId="3EFE002F" w14:textId="77777777" w:rsidR="00FE5939" w:rsidRPr="005451EA" w:rsidRDefault="00FE5939" w:rsidP="00FE5939">
            <w:pPr>
              <w:pStyle w:val="ListParagraph"/>
              <w:spacing w:after="0"/>
              <w:rPr>
                <w:color w:val="0070C0"/>
              </w:rPr>
            </w:pPr>
            <w:r w:rsidRPr="005451EA">
              <w:rPr>
                <w:color w:val="0070C0"/>
              </w:rPr>
              <w:t>N/A (See 14.2.6)</w:t>
            </w:r>
          </w:p>
          <w:p w14:paraId="3159F420" w14:textId="77777777" w:rsidR="00FE5939" w:rsidRDefault="00FE5939" w:rsidP="00FE5939">
            <w:pPr>
              <w:pStyle w:val="ListParagraph"/>
              <w:numPr>
                <w:ilvl w:val="0"/>
                <w:numId w:val="8"/>
              </w:numPr>
              <w:spacing w:after="0"/>
            </w:pPr>
            <w:r>
              <w:t>14.3.1 – Protection of test data</w:t>
            </w:r>
          </w:p>
          <w:p w14:paraId="62F73C6D" w14:textId="77777777" w:rsidR="00FE5939" w:rsidRPr="005451EA" w:rsidRDefault="00FE5939" w:rsidP="00FE5939">
            <w:pPr>
              <w:pStyle w:val="ListParagraph"/>
              <w:spacing w:after="0"/>
              <w:rPr>
                <w:color w:val="0070C0"/>
              </w:rPr>
            </w:pPr>
            <w:r w:rsidRPr="005451EA">
              <w:rPr>
                <w:color w:val="0070C0"/>
              </w:rPr>
              <w:t>N/A (See 14.2.6)</w:t>
            </w:r>
          </w:p>
          <w:p w14:paraId="41D60268" w14:textId="77777777" w:rsidR="00FE5939" w:rsidRDefault="00FE5939" w:rsidP="00FE5939"/>
          <w:p w14:paraId="4A271D55" w14:textId="77777777" w:rsidR="00FE5939" w:rsidRDefault="00FE5939" w:rsidP="00FE5939">
            <w:pPr>
              <w:rPr>
                <w:u w:val="single"/>
              </w:rPr>
            </w:pPr>
            <w:r w:rsidRPr="00C52FA4">
              <w:rPr>
                <w:u w:val="single"/>
              </w:rPr>
              <w:t>14.1.1/14.2.3</w:t>
            </w:r>
          </w:p>
          <w:p w14:paraId="599D1FA4" w14:textId="77777777" w:rsidR="00FE5939" w:rsidRDefault="00FE5939" w:rsidP="00FE5939">
            <w:r>
              <w:t>Change Management Process (Issue 1 – 1/8/17)</w:t>
            </w:r>
          </w:p>
          <w:p w14:paraId="7BD3C7A4" w14:textId="77777777" w:rsidR="00FE5939" w:rsidRDefault="00FE5939" w:rsidP="00FE5939">
            <w:r>
              <w:t>Determines stages to review a “Business as Usual” proj</w:t>
            </w:r>
            <w:r w:rsidRPr="005451EA">
              <w:t>ect:</w:t>
            </w:r>
          </w:p>
          <w:p w14:paraId="069EE275" w14:textId="77777777" w:rsidR="00FE5939" w:rsidRDefault="00FE5939" w:rsidP="00FE5939">
            <w:r>
              <w:t>Stage 1 = Clearly define the project and reasons</w:t>
            </w:r>
          </w:p>
          <w:p w14:paraId="186249FE" w14:textId="77777777" w:rsidR="00FE5939" w:rsidRDefault="00FE5939" w:rsidP="00FE5939">
            <w:r>
              <w:t>Stage 2 = Objectives (to be listed)</w:t>
            </w:r>
          </w:p>
          <w:p w14:paraId="0DBD648D" w14:textId="77777777" w:rsidR="00FE5939" w:rsidRDefault="00FE5939" w:rsidP="00FE5939">
            <w:r>
              <w:t>Stage 3 = Determine resource needs and responsibilities for each part of project deliverables</w:t>
            </w:r>
          </w:p>
          <w:p w14:paraId="35C72F71" w14:textId="77777777" w:rsidR="00FE5939" w:rsidRDefault="00FE5939" w:rsidP="00FE5939">
            <w:r>
              <w:t>Stage 4 = Conduct and record risk assessment (ISMS/QMS/EMS)</w:t>
            </w:r>
          </w:p>
          <w:p w14:paraId="3573E110" w14:textId="77777777" w:rsidR="00FE5939" w:rsidRDefault="00FE5939" w:rsidP="00FE5939">
            <w:r>
              <w:t>Stage 5 = Define testing/evaluation processes</w:t>
            </w:r>
          </w:p>
          <w:p w14:paraId="398DE294" w14:textId="77777777" w:rsidR="00FE5939" w:rsidRPr="005451EA" w:rsidRDefault="00FE5939" w:rsidP="00FE5939">
            <w:r w:rsidRPr="00F126F7">
              <w:rPr>
                <w:b/>
                <w:bCs/>
                <w:color w:val="FF0000"/>
                <w:highlight w:val="yellow"/>
              </w:rPr>
              <w:t>Stage 6</w:t>
            </w:r>
            <w:r w:rsidRPr="005451EA">
              <w:rPr>
                <w:color w:val="FF0000"/>
              </w:rPr>
              <w:t xml:space="preserve"> </w:t>
            </w:r>
            <w:r w:rsidRPr="005451EA">
              <w:t>= Determine how changes are to be communicated, recorded and managed.</w:t>
            </w:r>
          </w:p>
          <w:p w14:paraId="133A1159" w14:textId="77777777" w:rsidR="00FE5939" w:rsidRDefault="00FE5939" w:rsidP="00FE5939">
            <w:r w:rsidRPr="00F126F7">
              <w:rPr>
                <w:b/>
                <w:bCs/>
                <w:color w:val="FF0000"/>
                <w:highlight w:val="yellow"/>
              </w:rPr>
              <w:t>Stage 6</w:t>
            </w:r>
            <w:r w:rsidRPr="005451EA">
              <w:rPr>
                <w:color w:val="FF0000"/>
              </w:rPr>
              <w:t xml:space="preserve"> </w:t>
            </w:r>
            <w:r>
              <w:t>= Determine process for improvement management</w:t>
            </w:r>
          </w:p>
          <w:p w14:paraId="35B8450C" w14:textId="77777777" w:rsidR="00FE5939" w:rsidRDefault="00FE5939" w:rsidP="00FE5939">
            <w:r w:rsidRPr="005451EA">
              <w:rPr>
                <w:highlight w:val="yellow"/>
              </w:rPr>
              <w:t>There are two named “Stage 6” items – needs amending.</w:t>
            </w:r>
          </w:p>
          <w:p w14:paraId="793D9C4C" w14:textId="77777777" w:rsidR="00FE5939" w:rsidRDefault="00FE5939" w:rsidP="00FE5939">
            <w:r>
              <w:t>Stage 7 = Customer feedback process</w:t>
            </w:r>
          </w:p>
          <w:p w14:paraId="4BA1FFA0" w14:textId="77777777" w:rsidR="00FE5939" w:rsidRDefault="00FE5939" w:rsidP="00FE5939">
            <w:r>
              <w:t>Stage 8 = Determine post-delivery requirements</w:t>
            </w:r>
          </w:p>
          <w:p w14:paraId="20D88C3F" w14:textId="36577A74" w:rsidR="00FE5939" w:rsidRDefault="00FE5939" w:rsidP="00FE5939">
            <w:r>
              <w:t xml:space="preserve">Stage 9 = Final </w:t>
            </w:r>
            <w:r w:rsidR="0018152B">
              <w:t>A</w:t>
            </w:r>
            <w:r>
              <w:t>pproval/</w:t>
            </w:r>
            <w:r w:rsidR="0018152B">
              <w:t>S</w:t>
            </w:r>
            <w:r>
              <w:t>ign Off</w:t>
            </w:r>
          </w:p>
          <w:p w14:paraId="2E890EAD" w14:textId="77777777" w:rsidR="00FE5939" w:rsidRDefault="00FE5939" w:rsidP="00FE5939">
            <w:r>
              <w:t xml:space="preserve">Stage </w:t>
            </w:r>
            <w:r w:rsidRPr="005451EA">
              <w:t>10 = Retain records</w:t>
            </w:r>
            <w:r>
              <w:t xml:space="preserve"> in Ticketing System.</w:t>
            </w:r>
          </w:p>
          <w:p w14:paraId="5B04C8C1" w14:textId="77777777" w:rsidR="00FE5939" w:rsidRDefault="00FE5939" w:rsidP="00FE5939">
            <w:r>
              <w:t>14.2.3 is covered in Stage 6 (improvement process), Stage 7 (customer feedback) and Stage 8 (post-delivery requirements).</w:t>
            </w:r>
          </w:p>
          <w:p w14:paraId="61968002" w14:textId="77777777" w:rsidR="00FE5939" w:rsidRDefault="00FE5939" w:rsidP="00FE5939">
            <w:r w:rsidRPr="00914FFC">
              <w:rPr>
                <w:highlight w:val="yellow"/>
              </w:rPr>
              <w:t>The Change Management Process defines Annex A controls which are defined as not applicable in the Statement of Applicability.</w:t>
            </w:r>
          </w:p>
          <w:p w14:paraId="65B9BC25" w14:textId="77777777" w:rsidR="00FE5939" w:rsidRDefault="00FE5939" w:rsidP="00FE5939">
            <w:r w:rsidRPr="005451EA">
              <w:rPr>
                <w:highlight w:val="cyan"/>
              </w:rPr>
              <w:t>There is a 2</w:t>
            </w:r>
            <w:r w:rsidRPr="005451EA">
              <w:rPr>
                <w:highlight w:val="cyan"/>
                <w:vertAlign w:val="superscript"/>
              </w:rPr>
              <w:t>nd</w:t>
            </w:r>
            <w:r w:rsidRPr="005451EA">
              <w:rPr>
                <w:highlight w:val="cyan"/>
              </w:rPr>
              <w:t xml:space="preserve"> Change Management Process (V1.0) in Sharepoint which determines a Statement of Need.</w:t>
            </w:r>
          </w:p>
          <w:p w14:paraId="2173B51B" w14:textId="77777777" w:rsidR="00FE5939" w:rsidRDefault="00FE5939" w:rsidP="00FE5939"/>
          <w:p w14:paraId="6EF7823B" w14:textId="77777777" w:rsidR="00FE5939" w:rsidRPr="005451EA" w:rsidRDefault="00FE5939" w:rsidP="00FE5939">
            <w:pPr>
              <w:rPr>
                <w:u w:val="single"/>
              </w:rPr>
            </w:pPr>
            <w:r w:rsidRPr="005451EA">
              <w:rPr>
                <w:u w:val="single"/>
              </w:rPr>
              <w:t>14.2.4</w:t>
            </w:r>
          </w:p>
          <w:p w14:paraId="284BFED5" w14:textId="77777777" w:rsidR="00FE5939" w:rsidRDefault="00FE5939" w:rsidP="00FE5939">
            <w:r>
              <w:t>Group IT Policy – Software should not be installed/downloaded without IT approval.</w:t>
            </w:r>
          </w:p>
          <w:p w14:paraId="3250A82C" w14:textId="77777777" w:rsidR="00FE5939" w:rsidRPr="00D62851" w:rsidRDefault="00FE5939" w:rsidP="00031F28">
            <w:pPr>
              <w:rPr>
                <w:bCs/>
                <w:color w:val="FF0000"/>
              </w:rPr>
            </w:pPr>
          </w:p>
          <w:p w14:paraId="346D00AF" w14:textId="77777777" w:rsidR="00627B47" w:rsidRDefault="00627B47" w:rsidP="00627B47">
            <w:r>
              <w:t>ISO 27001 – Statement of Applicability (Issue 1.2 – July 20</w:t>
            </w:r>
            <w:r w:rsidRPr="00953CA0">
              <w:t>18):</w:t>
            </w:r>
          </w:p>
          <w:p w14:paraId="54C01164" w14:textId="77777777" w:rsidR="00627B47" w:rsidRDefault="00627B47" w:rsidP="00627B47">
            <w:pPr>
              <w:pStyle w:val="ListParagraph"/>
              <w:numPr>
                <w:ilvl w:val="0"/>
                <w:numId w:val="10"/>
              </w:numPr>
            </w:pPr>
            <w:r>
              <w:t>10.1.</w:t>
            </w:r>
            <w:r w:rsidRPr="00953CA0">
              <w:t>1 – Cryptographic policy</w:t>
            </w:r>
          </w:p>
          <w:p w14:paraId="6767FEAB" w14:textId="77777777" w:rsidR="00627B47" w:rsidRPr="00953CA0" w:rsidRDefault="00627B47" w:rsidP="00627B47">
            <w:pPr>
              <w:pStyle w:val="ListParagraph"/>
              <w:rPr>
                <w:color w:val="0070C0"/>
              </w:rPr>
            </w:pPr>
            <w:r w:rsidRPr="00953CA0">
              <w:rPr>
                <w:color w:val="0070C0"/>
              </w:rPr>
              <w:t>N/A – No encryption at TDL</w:t>
            </w:r>
          </w:p>
          <w:p w14:paraId="1BA1E20E" w14:textId="77777777" w:rsidR="00627B47" w:rsidRDefault="00627B47" w:rsidP="00627B47">
            <w:pPr>
              <w:pStyle w:val="ListParagraph"/>
              <w:numPr>
                <w:ilvl w:val="0"/>
                <w:numId w:val="10"/>
              </w:numPr>
            </w:pPr>
            <w:r>
              <w:t>10.1.2 – Key Management</w:t>
            </w:r>
          </w:p>
          <w:p w14:paraId="2C69F733" w14:textId="77777777" w:rsidR="00627B47" w:rsidRPr="00953CA0" w:rsidRDefault="00627B47" w:rsidP="00627B47">
            <w:pPr>
              <w:pStyle w:val="ListParagraph"/>
              <w:spacing w:after="0"/>
              <w:rPr>
                <w:color w:val="0070C0"/>
              </w:rPr>
            </w:pPr>
            <w:r w:rsidRPr="00953CA0">
              <w:rPr>
                <w:color w:val="0070C0"/>
              </w:rPr>
              <w:lastRenderedPageBreak/>
              <w:t>N/A – No encryption at TDL</w:t>
            </w:r>
          </w:p>
          <w:p w14:paraId="783D1745" w14:textId="77777777" w:rsidR="00627B47" w:rsidRDefault="00627B47" w:rsidP="00627B47">
            <w:r w:rsidRPr="00953CA0">
              <w:rPr>
                <w:highlight w:val="yellow"/>
              </w:rPr>
              <w:t>Update Internal Audit Plan 2018 – 2020 to reflect this, as it is currently planned as an audit.</w:t>
            </w:r>
          </w:p>
          <w:p w14:paraId="3A9714D7" w14:textId="55DF891D" w:rsidR="00D06EF2" w:rsidRDefault="00D06EF2" w:rsidP="006E7BD9"/>
          <w:p w14:paraId="7B9BF533" w14:textId="291A934D" w:rsidR="008C5F63" w:rsidRDefault="008C5F63" w:rsidP="006E7BD9"/>
          <w:p w14:paraId="1DF9DA78" w14:textId="77777777" w:rsidR="008C5F63" w:rsidRDefault="008C5F63" w:rsidP="008C5F63">
            <w:pPr>
              <w:rPr>
                <w:sz w:val="24"/>
                <w:szCs w:val="24"/>
                <w:u w:val="single"/>
              </w:rPr>
            </w:pPr>
            <w:r w:rsidRPr="00CE2D63">
              <w:rPr>
                <w:sz w:val="24"/>
                <w:szCs w:val="24"/>
                <w:u w:val="single"/>
              </w:rPr>
              <w:t>12/3/20</w:t>
            </w:r>
          </w:p>
          <w:p w14:paraId="153EE844" w14:textId="6870A1C3" w:rsidR="008C5F63" w:rsidRDefault="008C5F63" w:rsidP="008C5F63">
            <w:r>
              <w:t>Checked on IT specific controls with CR and SD:</w:t>
            </w:r>
          </w:p>
          <w:p w14:paraId="46D0A17A" w14:textId="77777777" w:rsidR="00EE718A" w:rsidRPr="000E6B18" w:rsidRDefault="00EE718A" w:rsidP="00EE718A">
            <w:pPr>
              <w:rPr>
                <w:u w:val="single"/>
              </w:rPr>
            </w:pPr>
            <w:r w:rsidRPr="000E6B18">
              <w:rPr>
                <w:u w:val="single"/>
              </w:rPr>
              <w:t>14.2.4</w:t>
            </w:r>
          </w:p>
          <w:p w14:paraId="4CCFA467" w14:textId="62481745" w:rsidR="00EE718A" w:rsidRDefault="00EE718A" w:rsidP="00EE718A">
            <w:r w:rsidRPr="000E6B18">
              <w:t>Software install requests would come through Helpdesk however CR confirmed there haven’t been any for TDL (UK or IOM).</w:t>
            </w:r>
          </w:p>
          <w:p w14:paraId="02B19640" w14:textId="71DDC31A" w:rsidR="00EE718A" w:rsidRDefault="00EE718A" w:rsidP="00EE718A"/>
          <w:p w14:paraId="104D8A1F" w14:textId="337F6316" w:rsidR="00EE718A" w:rsidRDefault="00EE718A" w:rsidP="00EE718A">
            <w:pPr>
              <w:rPr>
                <w:u w:val="single"/>
              </w:rPr>
            </w:pPr>
            <w:r w:rsidRPr="00815006">
              <w:rPr>
                <w:u w:val="single"/>
              </w:rPr>
              <w:t>14.1.1</w:t>
            </w:r>
          </w:p>
          <w:p w14:paraId="09B87053" w14:textId="77777777" w:rsidR="00EE718A" w:rsidRDefault="00EE718A" w:rsidP="00EE718A">
            <w:r>
              <w:t>Desk phones were changed to a cloud-based solution with Manx Telecom (no risks identified).</w:t>
            </w:r>
          </w:p>
          <w:p w14:paraId="03B9E850" w14:textId="77777777" w:rsidR="00EE718A" w:rsidRDefault="00EE718A" w:rsidP="00EE718A">
            <w:r>
              <w:t>OBS was m</w:t>
            </w:r>
            <w:r w:rsidRPr="00765C46">
              <w:t xml:space="preserve">oved from H&amp;B Group’s </w:t>
            </w:r>
            <w:r>
              <w:t>n</w:t>
            </w:r>
            <w:r w:rsidRPr="00765C46">
              <w:t>etwork</w:t>
            </w:r>
            <w:r>
              <w:t xml:space="preserve"> to the cloud. Firewall changes were required (Helpdesk Ticket 119885 – raised by IT January 2020).</w:t>
            </w:r>
          </w:p>
          <w:p w14:paraId="0E11F578" w14:textId="77777777" w:rsidR="00EE718A" w:rsidRDefault="00EE718A" w:rsidP="00EE718A">
            <w:r>
              <w:t>Removed external users from the Groups “OBS-Portal-Users” and “CTFS-Users”.</w:t>
            </w:r>
          </w:p>
          <w:p w14:paraId="6202BD1B" w14:textId="77777777" w:rsidR="00EE718A" w:rsidRDefault="00EE718A" w:rsidP="00EE718A">
            <w:r>
              <w:t>This change has resulted in less of a risk to H&amp;B/TDL.</w:t>
            </w:r>
          </w:p>
          <w:p w14:paraId="6392C2F1" w14:textId="77777777" w:rsidR="00EE718A" w:rsidRPr="000E6B18" w:rsidRDefault="00EE718A" w:rsidP="00EE718A"/>
          <w:p w14:paraId="7B91A87E" w14:textId="77777777" w:rsidR="008C5F63" w:rsidRPr="00B70740" w:rsidRDefault="008C5F63" w:rsidP="006E7BD9"/>
          <w:p w14:paraId="43A1BA20" w14:textId="77777777" w:rsidR="00C1521B" w:rsidRPr="00C1521B" w:rsidRDefault="00C1521B" w:rsidP="006E0C65">
            <w:pPr>
              <w:rPr>
                <w:bCs/>
              </w:rPr>
            </w:pPr>
          </w:p>
          <w:p w14:paraId="758EEA3C" w14:textId="170FD909" w:rsidR="006E0C65" w:rsidRPr="006E0C65" w:rsidRDefault="0043404E" w:rsidP="006E0C65">
            <w:pPr>
              <w:rPr>
                <w:b/>
              </w:rPr>
            </w:pPr>
            <w:r>
              <w:rPr>
                <w:b/>
              </w:rPr>
              <w:t xml:space="preserve">Signed (auditor)              </w:t>
            </w:r>
            <w:r w:rsidR="005E1467">
              <w:rPr>
                <w:b/>
              </w:rPr>
              <w:t>G</w:t>
            </w:r>
            <w:r>
              <w:rPr>
                <w:b/>
              </w:rPr>
              <w:t xml:space="preserve"> Burnell                                                                                             Date </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9720B">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00FFFF"/>
          </w:tcPr>
          <w:p w14:paraId="60BC9EFC" w14:textId="5FFE4581" w:rsidR="006E0C65" w:rsidRDefault="006E0C65" w:rsidP="00D35723">
            <w:pPr>
              <w:tabs>
                <w:tab w:val="center" w:pos="4513"/>
                <w:tab w:val="left" w:pos="5626"/>
              </w:tabs>
              <w:rPr>
                <w:b/>
              </w:rPr>
            </w:pPr>
            <w:r>
              <w:rPr>
                <w:b/>
              </w:rPr>
              <w:t>Minor NC</w:t>
            </w:r>
            <w:r w:rsidR="003850C0">
              <w:rPr>
                <w:b/>
              </w:rPr>
              <w:t xml:space="preserve">   </w:t>
            </w:r>
            <w:r w:rsidR="0029720B">
              <w:rPr>
                <w:b/>
              </w:rPr>
              <w:t>1</w:t>
            </w:r>
          </w:p>
        </w:tc>
        <w:tc>
          <w:tcPr>
            <w:tcW w:w="2410" w:type="dxa"/>
            <w:shd w:val="clear" w:color="auto" w:fill="FFFF00"/>
          </w:tcPr>
          <w:p w14:paraId="3F2C0D0D" w14:textId="2A0CE37A" w:rsidR="006E0C65" w:rsidRDefault="006E0C65" w:rsidP="00D35723">
            <w:pPr>
              <w:tabs>
                <w:tab w:val="center" w:pos="4513"/>
                <w:tab w:val="left" w:pos="5626"/>
              </w:tabs>
              <w:rPr>
                <w:b/>
              </w:rPr>
            </w:pPr>
            <w:r>
              <w:rPr>
                <w:b/>
              </w:rPr>
              <w:t>O F I</w:t>
            </w:r>
            <w:r w:rsidR="007F6CAE">
              <w:rPr>
                <w:b/>
              </w:rPr>
              <w:t xml:space="preserve">    </w:t>
            </w:r>
            <w:r w:rsidR="0029720B">
              <w:rPr>
                <w:b/>
              </w:rPr>
              <w:t>4</w:t>
            </w:r>
            <w:bookmarkStart w:id="1" w:name="_GoBack"/>
            <w:bookmarkEnd w:id="1"/>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16B7C132" w:rsidR="005E1467" w:rsidRDefault="005E1467" w:rsidP="00D35723">
            <w:pPr>
              <w:tabs>
                <w:tab w:val="center" w:pos="4513"/>
                <w:tab w:val="left" w:pos="5626"/>
              </w:tabs>
              <w:rPr>
                <w:i/>
                <w:sz w:val="20"/>
                <w:szCs w:val="20"/>
              </w:rPr>
            </w:pPr>
          </w:p>
          <w:p w14:paraId="389B0671" w14:textId="55017E8B" w:rsidR="00914FFC" w:rsidRDefault="00914FFC" w:rsidP="00914FFC">
            <w:r>
              <w:rPr>
                <w:highlight w:val="cyan"/>
              </w:rPr>
              <w:t xml:space="preserve">7.5 </w:t>
            </w:r>
            <w:r w:rsidRPr="00381C59">
              <w:rPr>
                <w:highlight w:val="cyan"/>
              </w:rPr>
              <w:t>There is a second Change Management Process (v1.0) in Sharepoint which determines a Statement of Nee</w:t>
            </w:r>
            <w:r w:rsidRPr="0018152B">
              <w:rPr>
                <w:highlight w:val="cyan"/>
              </w:rPr>
              <w:t>d</w:t>
            </w:r>
            <w:r w:rsidR="0018152B" w:rsidRPr="0018152B">
              <w:rPr>
                <w:highlight w:val="cyan"/>
              </w:rPr>
              <w:t>.</w:t>
            </w:r>
          </w:p>
          <w:p w14:paraId="2E52EB34" w14:textId="77777777" w:rsidR="00914FFC" w:rsidRDefault="00914FFC" w:rsidP="00914FFC">
            <w:r>
              <w:t>RC: Lack of document control</w:t>
            </w:r>
          </w:p>
          <w:p w14:paraId="3E15EEAD" w14:textId="77777777" w:rsidR="00914FFC" w:rsidRDefault="00914FFC" w:rsidP="00914FFC">
            <w:r>
              <w:t>CA: Archive this CM Process</w:t>
            </w:r>
          </w:p>
          <w:p w14:paraId="227B55E9" w14:textId="66788078" w:rsidR="005E1467" w:rsidRDefault="005E1467" w:rsidP="00D35723">
            <w:pPr>
              <w:tabs>
                <w:tab w:val="center" w:pos="4513"/>
                <w:tab w:val="left" w:pos="5626"/>
              </w:tabs>
              <w:rPr>
                <w:i/>
                <w:sz w:val="20"/>
                <w:szCs w:val="20"/>
              </w:rPr>
            </w:pPr>
          </w:p>
          <w:p w14:paraId="37E56AF0" w14:textId="342339DE" w:rsidR="005349B3" w:rsidRPr="00FB383F" w:rsidRDefault="00FB383F" w:rsidP="00D35723">
            <w:pPr>
              <w:tabs>
                <w:tab w:val="center" w:pos="4513"/>
                <w:tab w:val="left" w:pos="5626"/>
              </w:tabs>
              <w:rPr>
                <w:iCs/>
                <w:u w:val="single"/>
              </w:rPr>
            </w:pPr>
            <w:r w:rsidRPr="00FB383F">
              <w:rPr>
                <w:iCs/>
                <w:u w:val="single"/>
              </w:rPr>
              <w:t>Opportunities for Improvement:</w:t>
            </w:r>
          </w:p>
          <w:p w14:paraId="697188F6" w14:textId="77777777" w:rsidR="005349B3" w:rsidRPr="00FB383F" w:rsidRDefault="005349B3" w:rsidP="00FB383F">
            <w:pPr>
              <w:pStyle w:val="ListParagraph"/>
              <w:numPr>
                <w:ilvl w:val="0"/>
                <w:numId w:val="12"/>
              </w:numPr>
              <w:spacing w:after="0" w:line="240" w:lineRule="auto"/>
              <w:rPr>
                <w:highlight w:val="yellow"/>
              </w:rPr>
            </w:pPr>
            <w:r w:rsidRPr="00FB383F">
              <w:rPr>
                <w:highlight w:val="yellow"/>
              </w:rPr>
              <w:t>14.2.5 – Secure system engineering principles</w:t>
            </w:r>
          </w:p>
          <w:p w14:paraId="43A02A39" w14:textId="7F447B1F" w:rsidR="005349B3" w:rsidRPr="00FB383F" w:rsidRDefault="005349B3" w:rsidP="00FB383F">
            <w:pPr>
              <w:pStyle w:val="ListParagraph"/>
              <w:spacing w:after="0" w:line="240" w:lineRule="auto"/>
              <w:rPr>
                <w:highlight w:val="yellow"/>
              </w:rPr>
            </w:pPr>
            <w:r w:rsidRPr="00FB383F">
              <w:rPr>
                <w:highlight w:val="yellow"/>
              </w:rPr>
              <w:t>N/A – Statement of Applicability refers to 12.1.4, should be 14.2.1 or no development.</w:t>
            </w:r>
          </w:p>
          <w:p w14:paraId="6D9E288E" w14:textId="024E6E89" w:rsidR="005349B3" w:rsidRPr="00FB383F" w:rsidRDefault="005349B3" w:rsidP="00FB383F">
            <w:pPr>
              <w:pStyle w:val="ListParagraph"/>
              <w:numPr>
                <w:ilvl w:val="0"/>
                <w:numId w:val="12"/>
              </w:numPr>
              <w:spacing w:after="0" w:line="240" w:lineRule="auto"/>
              <w:rPr>
                <w:highlight w:val="yellow"/>
              </w:rPr>
            </w:pPr>
            <w:r w:rsidRPr="00FB383F">
              <w:rPr>
                <w:highlight w:val="yellow"/>
              </w:rPr>
              <w:t>Change Management Process (Issue 1 – 1/8/17)</w:t>
            </w:r>
            <w:r w:rsidRPr="00FB383F">
              <w:rPr>
                <w:highlight w:val="yellow"/>
              </w:rPr>
              <w:t xml:space="preserve"> - </w:t>
            </w:r>
            <w:r w:rsidRPr="00FB383F">
              <w:rPr>
                <w:highlight w:val="yellow"/>
              </w:rPr>
              <w:t>There are two named “Stage 6” items – needs amending.</w:t>
            </w:r>
          </w:p>
          <w:p w14:paraId="2FF9B570" w14:textId="6AFD2B16" w:rsidR="005349B3" w:rsidRPr="00FB383F" w:rsidRDefault="005349B3" w:rsidP="00FB383F">
            <w:pPr>
              <w:pStyle w:val="ListParagraph"/>
              <w:numPr>
                <w:ilvl w:val="0"/>
                <w:numId w:val="12"/>
              </w:numPr>
              <w:spacing w:after="0" w:line="240" w:lineRule="auto"/>
              <w:rPr>
                <w:highlight w:val="yellow"/>
              </w:rPr>
            </w:pPr>
            <w:r w:rsidRPr="00FB383F">
              <w:rPr>
                <w:highlight w:val="yellow"/>
              </w:rPr>
              <w:t>The Change Management Process defines Annex A controls which are defined as not applicable in the Statement of Applicability.</w:t>
            </w:r>
          </w:p>
          <w:p w14:paraId="54B1C9AE" w14:textId="4F55301A" w:rsidR="005349B3" w:rsidRPr="00FB383F" w:rsidRDefault="007364A7" w:rsidP="00FB383F">
            <w:pPr>
              <w:pStyle w:val="ListParagraph"/>
              <w:numPr>
                <w:ilvl w:val="0"/>
                <w:numId w:val="12"/>
              </w:numPr>
              <w:spacing w:after="0" w:line="240" w:lineRule="auto"/>
              <w:rPr>
                <w:highlight w:val="yellow"/>
              </w:rPr>
            </w:pPr>
            <w:r w:rsidRPr="00FB383F">
              <w:rPr>
                <w:highlight w:val="yellow"/>
              </w:rPr>
              <w:t xml:space="preserve">Annex A.10: </w:t>
            </w:r>
            <w:r w:rsidR="005349B3" w:rsidRPr="00FB383F">
              <w:rPr>
                <w:highlight w:val="yellow"/>
              </w:rPr>
              <w:t>Update Internal Audit Plan 2018 – 2020 to reflect this, as it is currently planned as an audit.</w:t>
            </w:r>
          </w:p>
          <w:p w14:paraId="0D6AC91B" w14:textId="77777777" w:rsidR="005349B3" w:rsidRDefault="005349B3" w:rsidP="005349B3"/>
          <w:p w14:paraId="15F34062" w14:textId="77777777" w:rsidR="005349B3" w:rsidRDefault="005349B3" w:rsidP="005349B3"/>
          <w:p w14:paraId="51D8111C" w14:textId="6786CE4A" w:rsidR="005349B3" w:rsidRDefault="005349B3" w:rsidP="005349B3"/>
          <w:p w14:paraId="01346374" w14:textId="77777777" w:rsidR="005349B3" w:rsidRDefault="005349B3" w:rsidP="005349B3">
            <w:pPr>
              <w:pStyle w:val="ListParagraph"/>
              <w:spacing w:after="0"/>
            </w:pPr>
          </w:p>
          <w:p w14:paraId="12B94AA6" w14:textId="77777777" w:rsidR="005349B3" w:rsidRDefault="005349B3"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1112C129" w:rsidR="0043404E" w:rsidRDefault="0043404E" w:rsidP="00D35723">
            <w:pPr>
              <w:tabs>
                <w:tab w:val="center" w:pos="4513"/>
                <w:tab w:val="left" w:pos="5626"/>
              </w:tabs>
              <w:rPr>
                <w:b/>
              </w:rPr>
            </w:pPr>
            <w:r>
              <w:rPr>
                <w:b/>
              </w:rPr>
              <w:t xml:space="preserve">Signed (auditor)              </w:t>
            </w:r>
            <w:r w:rsidR="005E1467">
              <w:rPr>
                <w:b/>
              </w:rPr>
              <w:t>G</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 xml:space="preserve">Signed (auditee)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(auditor)                                                                                                           Date</w:t>
            </w:r>
          </w:p>
          <w:p w14:paraId="5933E795" w14:textId="77777777" w:rsidR="006E0C65" w:rsidRDefault="006E0C65" w:rsidP="006E0C65">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owner)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C404" w14:textId="77777777" w:rsidR="005D3F4E" w:rsidRDefault="005D3F4E" w:rsidP="005D700E">
      <w:pPr>
        <w:spacing w:after="0" w:line="240" w:lineRule="auto"/>
      </w:pPr>
      <w:r>
        <w:separator/>
      </w:r>
    </w:p>
  </w:endnote>
  <w:endnote w:type="continuationSeparator" w:id="0">
    <w:p w14:paraId="055D49F5" w14:textId="77777777" w:rsidR="005D3F4E" w:rsidRDefault="005D3F4E"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FAAD" w14:textId="77777777" w:rsidR="005D3F4E" w:rsidRDefault="005D3F4E" w:rsidP="005D700E">
      <w:pPr>
        <w:spacing w:after="0" w:line="240" w:lineRule="auto"/>
      </w:pPr>
      <w:r>
        <w:separator/>
      </w:r>
    </w:p>
  </w:footnote>
  <w:footnote w:type="continuationSeparator" w:id="0">
    <w:p w14:paraId="41286155" w14:textId="77777777" w:rsidR="005D3F4E" w:rsidRDefault="005D3F4E"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81EFF"/>
    <w:multiLevelType w:val="hybridMultilevel"/>
    <w:tmpl w:val="23A8298C"/>
    <w:lvl w:ilvl="0" w:tplc="63AAF7C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4099B"/>
    <w:multiLevelType w:val="hybridMultilevel"/>
    <w:tmpl w:val="12BE6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2F0A17"/>
    <w:multiLevelType w:val="hybridMultilevel"/>
    <w:tmpl w:val="12BE6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873D3"/>
    <w:multiLevelType w:val="hybridMultilevel"/>
    <w:tmpl w:val="91749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3"/>
  </w:num>
  <w:num w:numId="5">
    <w:abstractNumId w:val="9"/>
  </w:num>
  <w:num w:numId="6">
    <w:abstractNumId w:val="11"/>
  </w:num>
  <w:num w:numId="7">
    <w:abstractNumId w:val="1"/>
  </w:num>
  <w:num w:numId="8">
    <w:abstractNumId w:val="4"/>
  </w:num>
  <w:num w:numId="9">
    <w:abstractNumId w:val="2"/>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B6537"/>
    <w:rsid w:val="000F1ED6"/>
    <w:rsid w:val="001071EC"/>
    <w:rsid w:val="001207D8"/>
    <w:rsid w:val="001314A7"/>
    <w:rsid w:val="001529ED"/>
    <w:rsid w:val="0018152B"/>
    <w:rsid w:val="0019625B"/>
    <w:rsid w:val="001A14D6"/>
    <w:rsid w:val="001C28E0"/>
    <w:rsid w:val="001C3274"/>
    <w:rsid w:val="001C3DD9"/>
    <w:rsid w:val="00223263"/>
    <w:rsid w:val="0026698E"/>
    <w:rsid w:val="002718E8"/>
    <w:rsid w:val="002747DE"/>
    <w:rsid w:val="00282B05"/>
    <w:rsid w:val="0028684E"/>
    <w:rsid w:val="0029720B"/>
    <w:rsid w:val="002C6843"/>
    <w:rsid w:val="002D2658"/>
    <w:rsid w:val="002E784E"/>
    <w:rsid w:val="00334C1E"/>
    <w:rsid w:val="0034097D"/>
    <w:rsid w:val="0034506C"/>
    <w:rsid w:val="00354C21"/>
    <w:rsid w:val="0036306C"/>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D5556"/>
    <w:rsid w:val="004E2216"/>
    <w:rsid w:val="00516955"/>
    <w:rsid w:val="00522AA1"/>
    <w:rsid w:val="005349B3"/>
    <w:rsid w:val="0053505F"/>
    <w:rsid w:val="005538AC"/>
    <w:rsid w:val="00562E66"/>
    <w:rsid w:val="0059372D"/>
    <w:rsid w:val="005A4612"/>
    <w:rsid w:val="005C4C8A"/>
    <w:rsid w:val="005D3F4E"/>
    <w:rsid w:val="005D700E"/>
    <w:rsid w:val="005E1467"/>
    <w:rsid w:val="005F7D85"/>
    <w:rsid w:val="006145AB"/>
    <w:rsid w:val="00616DBC"/>
    <w:rsid w:val="00627B47"/>
    <w:rsid w:val="006307C9"/>
    <w:rsid w:val="00633FC8"/>
    <w:rsid w:val="00666281"/>
    <w:rsid w:val="006B7C7A"/>
    <w:rsid w:val="006D437E"/>
    <w:rsid w:val="006E0C65"/>
    <w:rsid w:val="006E7BD9"/>
    <w:rsid w:val="006F6A8D"/>
    <w:rsid w:val="006F7C86"/>
    <w:rsid w:val="00700055"/>
    <w:rsid w:val="00700112"/>
    <w:rsid w:val="00700223"/>
    <w:rsid w:val="007364A7"/>
    <w:rsid w:val="0074087C"/>
    <w:rsid w:val="007A50A0"/>
    <w:rsid w:val="007B5F83"/>
    <w:rsid w:val="007C3DCD"/>
    <w:rsid w:val="007E39FC"/>
    <w:rsid w:val="007F0128"/>
    <w:rsid w:val="007F6CAE"/>
    <w:rsid w:val="00823AEB"/>
    <w:rsid w:val="00850B1B"/>
    <w:rsid w:val="008C5F63"/>
    <w:rsid w:val="008C6243"/>
    <w:rsid w:val="008F5786"/>
    <w:rsid w:val="00914FFC"/>
    <w:rsid w:val="00933D4B"/>
    <w:rsid w:val="00941B7A"/>
    <w:rsid w:val="0095347C"/>
    <w:rsid w:val="00953FAB"/>
    <w:rsid w:val="00957D7D"/>
    <w:rsid w:val="009A08C2"/>
    <w:rsid w:val="009A6677"/>
    <w:rsid w:val="009B4D19"/>
    <w:rsid w:val="009B7F65"/>
    <w:rsid w:val="009E0092"/>
    <w:rsid w:val="009E41BC"/>
    <w:rsid w:val="009E48C0"/>
    <w:rsid w:val="009F4C40"/>
    <w:rsid w:val="00A23D1F"/>
    <w:rsid w:val="00A904D8"/>
    <w:rsid w:val="00A93292"/>
    <w:rsid w:val="00AA3ECB"/>
    <w:rsid w:val="00AB4274"/>
    <w:rsid w:val="00AC6799"/>
    <w:rsid w:val="00AE4DB8"/>
    <w:rsid w:val="00AF1F33"/>
    <w:rsid w:val="00B07B51"/>
    <w:rsid w:val="00B10595"/>
    <w:rsid w:val="00B11078"/>
    <w:rsid w:val="00B16152"/>
    <w:rsid w:val="00B23C2D"/>
    <w:rsid w:val="00B251A4"/>
    <w:rsid w:val="00B26696"/>
    <w:rsid w:val="00B70740"/>
    <w:rsid w:val="00BA5C5C"/>
    <w:rsid w:val="00BB0F43"/>
    <w:rsid w:val="00BD7BD9"/>
    <w:rsid w:val="00BF30AF"/>
    <w:rsid w:val="00C116ED"/>
    <w:rsid w:val="00C1521B"/>
    <w:rsid w:val="00C20D5E"/>
    <w:rsid w:val="00C22791"/>
    <w:rsid w:val="00C31FD8"/>
    <w:rsid w:val="00C343F4"/>
    <w:rsid w:val="00C555ED"/>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86BB2"/>
    <w:rsid w:val="00DA5787"/>
    <w:rsid w:val="00DB1F33"/>
    <w:rsid w:val="00DC18FC"/>
    <w:rsid w:val="00DC4999"/>
    <w:rsid w:val="00DE5B37"/>
    <w:rsid w:val="00E451B4"/>
    <w:rsid w:val="00E62B02"/>
    <w:rsid w:val="00E81FAC"/>
    <w:rsid w:val="00EA64F3"/>
    <w:rsid w:val="00EE718A"/>
    <w:rsid w:val="00EF3EEA"/>
    <w:rsid w:val="00F05FA3"/>
    <w:rsid w:val="00F126F7"/>
    <w:rsid w:val="00F244C9"/>
    <w:rsid w:val="00F40ADD"/>
    <w:rsid w:val="00F73D50"/>
    <w:rsid w:val="00FA3CC3"/>
    <w:rsid w:val="00FB383F"/>
    <w:rsid w:val="00FB3B23"/>
    <w:rsid w:val="00FB4902"/>
    <w:rsid w:val="00FE59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Gemma-Marie Burnell</cp:lastModifiedBy>
  <cp:revision>6</cp:revision>
  <dcterms:created xsi:type="dcterms:W3CDTF">2020-03-25T13:21:00Z</dcterms:created>
  <dcterms:modified xsi:type="dcterms:W3CDTF">2020-03-25T14:02:00Z</dcterms:modified>
</cp:coreProperties>
</file>