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22C" w:rsidRPr="009724AF" w:rsidRDefault="0089722C" w:rsidP="0089722C">
      <w:pPr>
        <w:pStyle w:val="20-Modeltitel"/>
        <w:spacing w:after="100"/>
        <w:rPr>
          <w:rFonts w:ascii="Arial" w:hAnsi="Arial" w:cs="Arial"/>
        </w:rPr>
      </w:pPr>
      <w:r>
        <w:rPr>
          <w:noProof/>
          <w:lang w:val="en-GB" w:eastAsia="en-GB"/>
        </w:rPr>
        <w:drawing>
          <wp:inline distT="0" distB="0" distL="0" distR="0">
            <wp:extent cx="1733550" cy="1162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3550" cy="1162050"/>
                    </a:xfrm>
                    <a:prstGeom prst="rect">
                      <a:avLst/>
                    </a:prstGeom>
                    <a:noFill/>
                    <a:ln>
                      <a:noFill/>
                    </a:ln>
                  </pic:spPr>
                </pic:pic>
              </a:graphicData>
            </a:graphic>
          </wp:inline>
        </w:drawing>
      </w:r>
    </w:p>
    <w:p w:rsidR="0089722C" w:rsidRDefault="0089722C" w:rsidP="0089722C">
      <w:pPr>
        <w:pStyle w:val="20-Modeltitel"/>
        <w:spacing w:after="100"/>
        <w:rPr>
          <w:rFonts w:ascii="Arial" w:hAnsi="Arial" w:cs="Arial"/>
          <w:b/>
          <w:spacing w:val="0"/>
          <w:sz w:val="36"/>
          <w:lang w:val="en-GB"/>
        </w:rPr>
      </w:pPr>
      <w:r w:rsidRPr="009724AF">
        <w:rPr>
          <w:rFonts w:ascii="Arial" w:hAnsi="Arial" w:cs="Arial"/>
          <w:b/>
          <w:spacing w:val="0"/>
          <w:sz w:val="36"/>
          <w:lang w:val="en-GB"/>
        </w:rPr>
        <w:t>KEY HOLDER policy</w:t>
      </w:r>
    </w:p>
    <w:p w:rsidR="0089722C" w:rsidRDefault="0089722C" w:rsidP="0089722C">
      <w:pPr>
        <w:pStyle w:val="20-Modeltitel"/>
        <w:spacing w:after="100"/>
        <w:rPr>
          <w:rFonts w:ascii="Arial" w:hAnsi="Arial" w:cs="Arial"/>
          <w:b/>
          <w:spacing w:val="0"/>
          <w:sz w:val="36"/>
          <w:lang w:val="en-GB"/>
        </w:rPr>
      </w:pPr>
    </w:p>
    <w:p w:rsidR="0089722C" w:rsidRPr="00311657" w:rsidRDefault="0089722C" w:rsidP="0089722C">
      <w:pPr>
        <w:pStyle w:val="20-Modeltitel"/>
        <w:spacing w:after="100" w:afterAutospacing="1" w:line="240" w:lineRule="auto"/>
        <w:rPr>
          <w:rFonts w:ascii="Arial" w:hAnsi="Arial" w:cs="Arial"/>
          <w:b/>
          <w:sz w:val="32"/>
          <w:szCs w:val="32"/>
        </w:rPr>
      </w:pPr>
      <w:r w:rsidRPr="005D73FC">
        <w:rPr>
          <w:rFonts w:ascii="Arial" w:hAnsi="Arial" w:cs="Arial"/>
          <w:b/>
          <w:i/>
          <w:sz w:val="22"/>
          <w:szCs w:val="22"/>
        </w:rPr>
        <w:t>Applicable To All Heron &amp; Brearley Group Companies</w:t>
      </w:r>
    </w:p>
    <w:p w:rsidR="0089722C" w:rsidRPr="009724AF" w:rsidRDefault="0089722C" w:rsidP="0089722C">
      <w:pPr>
        <w:pStyle w:val="20-Modeltitel"/>
        <w:spacing w:after="100"/>
        <w:rPr>
          <w:rFonts w:ascii="Arial" w:hAnsi="Arial" w:cs="Arial"/>
        </w:rPr>
      </w:pPr>
    </w:p>
    <w:p w:rsidR="0089722C" w:rsidRPr="009724AF" w:rsidRDefault="0089722C" w:rsidP="0089722C">
      <w:pPr>
        <w:pStyle w:val="20-Modeltitel"/>
        <w:spacing w:after="100" w:line="240" w:lineRule="auto"/>
        <w:rPr>
          <w:rFonts w:ascii="Arial" w:hAnsi="Arial" w:cs="Arial"/>
          <w:sz w:val="24"/>
        </w:rPr>
      </w:pPr>
      <w:r w:rsidRPr="009724AF">
        <w:rPr>
          <w:rFonts w:ascii="Arial" w:hAnsi="Arial" w:cs="Arial"/>
          <w:sz w:val="24"/>
        </w:rPr>
        <w:t xml:space="preserve">Version 1.0 – </w:t>
      </w:r>
      <w:r>
        <w:rPr>
          <w:rFonts w:ascii="Arial" w:hAnsi="Arial" w:cs="Arial"/>
          <w:sz w:val="24"/>
        </w:rPr>
        <w:t>AUGUST</w:t>
      </w:r>
      <w:r w:rsidRPr="009724AF">
        <w:rPr>
          <w:rFonts w:ascii="Arial" w:hAnsi="Arial" w:cs="Arial"/>
          <w:sz w:val="24"/>
        </w:rPr>
        <w:t xml:space="preserve"> 2017</w:t>
      </w:r>
    </w:p>
    <w:p w:rsidR="0089722C" w:rsidRPr="009724AF" w:rsidRDefault="0089722C" w:rsidP="0089722C">
      <w:pPr>
        <w:jc w:val="both"/>
        <w:rPr>
          <w:rFonts w:ascii="Arial" w:hAnsi="Arial" w:cs="Arial"/>
          <w:b/>
        </w:rPr>
      </w:pPr>
    </w:p>
    <w:p w:rsidR="0089722C" w:rsidRPr="00BB1FEA" w:rsidRDefault="0089722C" w:rsidP="0089722C">
      <w:pPr>
        <w:spacing w:line="360" w:lineRule="auto"/>
        <w:jc w:val="both"/>
        <w:rPr>
          <w:rFonts w:ascii="Arial" w:hAnsi="Arial" w:cs="Arial"/>
          <w:b/>
          <w:sz w:val="22"/>
          <w:szCs w:val="22"/>
        </w:rPr>
      </w:pPr>
      <w:r w:rsidRPr="00BB1FEA">
        <w:rPr>
          <w:rFonts w:ascii="Arial" w:hAnsi="Arial" w:cs="Arial"/>
          <w:b/>
          <w:sz w:val="22"/>
          <w:szCs w:val="22"/>
        </w:rPr>
        <w:t xml:space="preserve">Policy Statement </w:t>
      </w:r>
    </w:p>
    <w:p w:rsidR="0089722C" w:rsidRPr="00BB1FEA" w:rsidRDefault="0089722C" w:rsidP="0089722C">
      <w:pPr>
        <w:spacing w:line="360" w:lineRule="auto"/>
        <w:jc w:val="both"/>
        <w:rPr>
          <w:rFonts w:ascii="Arial" w:hAnsi="Arial" w:cs="Arial"/>
          <w:sz w:val="20"/>
        </w:rPr>
      </w:pPr>
      <w:r w:rsidRPr="00BB1FEA">
        <w:rPr>
          <w:rFonts w:ascii="Arial" w:hAnsi="Arial" w:cs="Arial"/>
          <w:sz w:val="20"/>
        </w:rPr>
        <w:t>It is the policy of H&amp;B Group to provide keys to some of its staff to enable them to carry out their work. All keys issued are to be managed in such a way as to protect the security of H&amp;B Group buildings, individuals and other assets.</w:t>
      </w:r>
    </w:p>
    <w:p w:rsidR="0089722C" w:rsidRPr="00BB1FEA" w:rsidRDefault="0089722C" w:rsidP="0089722C">
      <w:pPr>
        <w:spacing w:line="360" w:lineRule="auto"/>
        <w:jc w:val="both"/>
        <w:rPr>
          <w:rFonts w:ascii="Arial" w:hAnsi="Arial" w:cs="Arial"/>
          <w:sz w:val="20"/>
        </w:rPr>
      </w:pPr>
    </w:p>
    <w:p w:rsidR="0089722C" w:rsidRPr="00BB1FEA" w:rsidRDefault="0089722C" w:rsidP="0089722C">
      <w:pPr>
        <w:spacing w:line="360" w:lineRule="auto"/>
        <w:jc w:val="both"/>
        <w:rPr>
          <w:rFonts w:ascii="Arial" w:hAnsi="Arial" w:cs="Arial"/>
          <w:b/>
          <w:sz w:val="22"/>
          <w:szCs w:val="22"/>
        </w:rPr>
      </w:pPr>
      <w:r w:rsidRPr="00BB1FEA">
        <w:rPr>
          <w:rFonts w:ascii="Arial" w:hAnsi="Arial" w:cs="Arial"/>
          <w:b/>
          <w:sz w:val="22"/>
          <w:szCs w:val="22"/>
        </w:rPr>
        <w:t xml:space="preserve">Background </w:t>
      </w:r>
    </w:p>
    <w:p w:rsidR="0089722C" w:rsidRPr="00BB1FEA" w:rsidRDefault="0089722C" w:rsidP="0089722C">
      <w:pPr>
        <w:spacing w:line="360" w:lineRule="auto"/>
        <w:jc w:val="both"/>
        <w:rPr>
          <w:rFonts w:ascii="Arial" w:hAnsi="Arial" w:cs="Arial"/>
          <w:sz w:val="20"/>
        </w:rPr>
      </w:pPr>
      <w:r w:rsidRPr="00BB1FEA">
        <w:rPr>
          <w:rFonts w:ascii="Arial" w:hAnsi="Arial" w:cs="Arial"/>
          <w:sz w:val="20"/>
        </w:rPr>
        <w:t>H&amp;B Group buildings currently have a wide range of locks and keys fitted, in addition to the Access Control System at Head Office, Kewaigue. This necessitates a number of keys being in circulation across our sites.  A key holder management policy is required to be implemented immediately. This is intended to reduce unauthorised access to sensitive areas, lessen the likelihood of theft, and in the longer term yield financial savings.</w:t>
      </w:r>
    </w:p>
    <w:p w:rsidR="0089722C" w:rsidRPr="00BB1FEA" w:rsidRDefault="0089722C" w:rsidP="0089722C">
      <w:pPr>
        <w:spacing w:line="360" w:lineRule="auto"/>
        <w:jc w:val="both"/>
        <w:rPr>
          <w:rFonts w:ascii="Arial" w:hAnsi="Arial" w:cs="Arial"/>
          <w:sz w:val="20"/>
        </w:rPr>
      </w:pPr>
    </w:p>
    <w:p w:rsidR="0089722C" w:rsidRPr="00BB1FEA" w:rsidRDefault="0089722C" w:rsidP="0089722C">
      <w:pPr>
        <w:spacing w:line="360" w:lineRule="auto"/>
        <w:jc w:val="both"/>
        <w:rPr>
          <w:rFonts w:ascii="Arial" w:hAnsi="Arial" w:cs="Arial"/>
          <w:b/>
          <w:sz w:val="22"/>
          <w:szCs w:val="22"/>
        </w:rPr>
      </w:pPr>
      <w:r w:rsidRPr="00BB1FEA">
        <w:rPr>
          <w:rFonts w:ascii="Arial" w:hAnsi="Arial" w:cs="Arial"/>
          <w:b/>
          <w:sz w:val="22"/>
          <w:szCs w:val="22"/>
        </w:rPr>
        <w:t>Scope</w:t>
      </w:r>
    </w:p>
    <w:p w:rsidR="0089722C" w:rsidRPr="00BB1FEA" w:rsidRDefault="0089722C" w:rsidP="0089722C">
      <w:pPr>
        <w:spacing w:line="360" w:lineRule="auto"/>
        <w:jc w:val="both"/>
        <w:rPr>
          <w:rFonts w:ascii="Arial" w:hAnsi="Arial" w:cs="Arial"/>
          <w:sz w:val="20"/>
        </w:rPr>
      </w:pPr>
      <w:r w:rsidRPr="00BB1FEA">
        <w:rPr>
          <w:rFonts w:ascii="Arial" w:hAnsi="Arial" w:cs="Arial"/>
          <w:sz w:val="20"/>
        </w:rPr>
        <w:t>This policy applies to all H&amp;B Group employees and should be read in conjunction with the H&amp;B Group Access Control Policy. This policy is effective from 1</w:t>
      </w:r>
      <w:r w:rsidRPr="00BB1FEA">
        <w:rPr>
          <w:rFonts w:ascii="Arial" w:hAnsi="Arial" w:cs="Arial"/>
          <w:sz w:val="20"/>
          <w:vertAlign w:val="superscript"/>
        </w:rPr>
        <w:t>st</w:t>
      </w:r>
      <w:r w:rsidRPr="00BB1FEA">
        <w:rPr>
          <w:rFonts w:ascii="Arial" w:hAnsi="Arial" w:cs="Arial"/>
          <w:sz w:val="20"/>
        </w:rPr>
        <w:t xml:space="preserve"> August 2017.</w:t>
      </w:r>
    </w:p>
    <w:p w:rsidR="0089722C" w:rsidRPr="00BB1FEA" w:rsidRDefault="0089722C" w:rsidP="0089722C">
      <w:pPr>
        <w:spacing w:line="360" w:lineRule="auto"/>
        <w:jc w:val="both"/>
        <w:rPr>
          <w:rFonts w:ascii="Arial" w:hAnsi="Arial" w:cs="Arial"/>
          <w:sz w:val="20"/>
        </w:rPr>
      </w:pPr>
    </w:p>
    <w:p w:rsidR="0089722C" w:rsidRPr="00BB1FEA" w:rsidRDefault="0089722C" w:rsidP="0089722C">
      <w:pPr>
        <w:spacing w:line="360" w:lineRule="auto"/>
        <w:jc w:val="both"/>
        <w:rPr>
          <w:rFonts w:ascii="Arial" w:hAnsi="Arial" w:cs="Arial"/>
          <w:b/>
          <w:sz w:val="22"/>
          <w:szCs w:val="22"/>
        </w:rPr>
      </w:pPr>
      <w:r w:rsidRPr="00BB1FEA">
        <w:rPr>
          <w:rFonts w:ascii="Arial" w:hAnsi="Arial" w:cs="Arial"/>
          <w:b/>
          <w:sz w:val="22"/>
          <w:szCs w:val="22"/>
        </w:rPr>
        <w:t xml:space="preserve">Rules of Key Issue </w:t>
      </w:r>
    </w:p>
    <w:p w:rsidR="0089722C" w:rsidRPr="00BB1FEA" w:rsidRDefault="0089722C" w:rsidP="0089722C">
      <w:pPr>
        <w:spacing w:line="360" w:lineRule="auto"/>
        <w:jc w:val="both"/>
        <w:rPr>
          <w:rFonts w:ascii="Arial" w:hAnsi="Arial" w:cs="Arial"/>
          <w:sz w:val="20"/>
        </w:rPr>
      </w:pPr>
      <w:r w:rsidRPr="00BB1FEA">
        <w:rPr>
          <w:rFonts w:ascii="Arial" w:hAnsi="Arial" w:cs="Arial"/>
          <w:sz w:val="20"/>
        </w:rPr>
        <w:t>Staff should not routinely have H&amp;B Group keys in their possession which they do not need for their immediate duties. The only keys that should be taken home or away from the premises are those ‘personal’ keys which are needed to gain immediate access to initial places of work e.g. a building or office. By possessing a key, the Key-holder agrees not to compromise the security of any area or building and further agrees to secure each door upon leaving the area unattended. It is every individual’s responsibility to ensure that keys in their possession giving access to H&amp;B Group buildings and locations are kept secure at all times. Receipt of an H&amp;B Group key carries these implied responsibilities. The following acts are examples of violations of the Key Holder Policy and are prohibited; staff found in violation of any of the acts listed below may be subject to the relevant disciplinary procedure.</w:t>
      </w:r>
    </w:p>
    <w:p w:rsidR="0089722C" w:rsidRPr="00BB1FEA" w:rsidRDefault="0089722C" w:rsidP="0089722C">
      <w:pPr>
        <w:pStyle w:val="ListParagraph"/>
        <w:numPr>
          <w:ilvl w:val="0"/>
          <w:numId w:val="1"/>
        </w:numPr>
        <w:spacing w:after="200" w:line="360" w:lineRule="auto"/>
        <w:contextualSpacing/>
        <w:rPr>
          <w:rFonts w:ascii="Arial" w:hAnsi="Arial" w:cs="Arial"/>
        </w:rPr>
      </w:pPr>
      <w:r w:rsidRPr="00BB1FEA">
        <w:rPr>
          <w:rFonts w:ascii="Arial" w:hAnsi="Arial" w:cs="Arial"/>
        </w:rPr>
        <w:t>Unauthorised loaning of keys</w:t>
      </w:r>
    </w:p>
    <w:p w:rsidR="0089722C" w:rsidRPr="00BB1FEA" w:rsidRDefault="0089722C" w:rsidP="0089722C">
      <w:pPr>
        <w:pStyle w:val="ListParagraph"/>
        <w:numPr>
          <w:ilvl w:val="0"/>
          <w:numId w:val="1"/>
        </w:numPr>
        <w:spacing w:after="200" w:line="360" w:lineRule="auto"/>
        <w:contextualSpacing/>
        <w:rPr>
          <w:rFonts w:ascii="Arial" w:hAnsi="Arial" w:cs="Arial"/>
        </w:rPr>
      </w:pPr>
      <w:r w:rsidRPr="00BB1FEA">
        <w:rPr>
          <w:rFonts w:ascii="Arial" w:hAnsi="Arial" w:cs="Arial"/>
        </w:rPr>
        <w:t>Transfer of keys without authorisation</w:t>
      </w:r>
    </w:p>
    <w:p w:rsidR="0089722C" w:rsidRPr="00BB1FEA" w:rsidRDefault="0089722C" w:rsidP="0089722C">
      <w:pPr>
        <w:pStyle w:val="ListParagraph"/>
        <w:numPr>
          <w:ilvl w:val="0"/>
          <w:numId w:val="1"/>
        </w:numPr>
        <w:spacing w:after="200" w:line="360" w:lineRule="auto"/>
        <w:contextualSpacing/>
        <w:rPr>
          <w:rFonts w:ascii="Arial" w:hAnsi="Arial" w:cs="Arial"/>
        </w:rPr>
      </w:pPr>
      <w:r w:rsidRPr="00BB1FEA">
        <w:rPr>
          <w:rFonts w:ascii="Arial" w:hAnsi="Arial" w:cs="Arial"/>
        </w:rPr>
        <w:t xml:space="preserve">Unauthorised duplication of keys </w:t>
      </w:r>
    </w:p>
    <w:p w:rsidR="0089722C" w:rsidRPr="00BB1FEA" w:rsidRDefault="0089722C" w:rsidP="0089722C">
      <w:pPr>
        <w:pStyle w:val="ListParagraph"/>
        <w:numPr>
          <w:ilvl w:val="0"/>
          <w:numId w:val="1"/>
        </w:numPr>
        <w:spacing w:after="200" w:line="360" w:lineRule="auto"/>
        <w:contextualSpacing/>
        <w:rPr>
          <w:rFonts w:ascii="Arial" w:hAnsi="Arial" w:cs="Arial"/>
        </w:rPr>
      </w:pPr>
      <w:r w:rsidRPr="00BB1FEA">
        <w:rPr>
          <w:rFonts w:ascii="Arial" w:hAnsi="Arial" w:cs="Arial"/>
        </w:rPr>
        <w:t xml:space="preserve">Altering keys, lock or mechanisms </w:t>
      </w:r>
    </w:p>
    <w:p w:rsidR="0089722C" w:rsidRPr="00BB1FEA" w:rsidRDefault="0089722C" w:rsidP="0089722C">
      <w:pPr>
        <w:pStyle w:val="ListParagraph"/>
        <w:numPr>
          <w:ilvl w:val="0"/>
          <w:numId w:val="1"/>
        </w:numPr>
        <w:spacing w:after="200" w:line="360" w:lineRule="auto"/>
        <w:contextualSpacing/>
        <w:rPr>
          <w:rFonts w:ascii="Arial" w:hAnsi="Arial" w:cs="Arial"/>
        </w:rPr>
      </w:pPr>
      <w:r w:rsidRPr="00BB1FEA">
        <w:rPr>
          <w:rFonts w:ascii="Arial" w:hAnsi="Arial" w:cs="Arial"/>
        </w:rPr>
        <w:t xml:space="preserve">Damaging, tampering or vandalising any H&amp;B Group lock or hardware </w:t>
      </w:r>
    </w:p>
    <w:p w:rsidR="0089722C" w:rsidRPr="00BB1FEA" w:rsidRDefault="0089722C" w:rsidP="0089722C">
      <w:pPr>
        <w:pStyle w:val="ListParagraph"/>
        <w:numPr>
          <w:ilvl w:val="0"/>
          <w:numId w:val="1"/>
        </w:numPr>
        <w:spacing w:after="200" w:line="360" w:lineRule="auto"/>
        <w:contextualSpacing/>
        <w:rPr>
          <w:rFonts w:ascii="Arial" w:hAnsi="Arial" w:cs="Arial"/>
        </w:rPr>
      </w:pPr>
      <w:r w:rsidRPr="00BB1FEA">
        <w:rPr>
          <w:rFonts w:ascii="Arial" w:hAnsi="Arial" w:cs="Arial"/>
        </w:rPr>
        <w:t>Propping open secure doors</w:t>
      </w:r>
    </w:p>
    <w:p w:rsidR="0089722C" w:rsidRPr="00BB1FEA" w:rsidRDefault="0089722C" w:rsidP="0089722C">
      <w:pPr>
        <w:pStyle w:val="ListParagraph"/>
        <w:numPr>
          <w:ilvl w:val="0"/>
          <w:numId w:val="1"/>
        </w:numPr>
        <w:spacing w:after="200" w:line="360" w:lineRule="auto"/>
        <w:contextualSpacing/>
        <w:rPr>
          <w:rFonts w:ascii="Arial" w:hAnsi="Arial" w:cs="Arial"/>
        </w:rPr>
      </w:pPr>
      <w:r w:rsidRPr="00BB1FEA">
        <w:rPr>
          <w:rFonts w:ascii="Arial" w:hAnsi="Arial" w:cs="Arial"/>
        </w:rPr>
        <w:t xml:space="preserve">Admitting unauthorised persons into the building </w:t>
      </w:r>
    </w:p>
    <w:p w:rsidR="0089722C" w:rsidRPr="00BB1FEA" w:rsidRDefault="0089722C" w:rsidP="0089722C">
      <w:pPr>
        <w:pStyle w:val="ListParagraph"/>
        <w:numPr>
          <w:ilvl w:val="0"/>
          <w:numId w:val="1"/>
        </w:numPr>
        <w:spacing w:after="200" w:line="360" w:lineRule="auto"/>
        <w:contextualSpacing/>
        <w:rPr>
          <w:rFonts w:ascii="Arial" w:hAnsi="Arial" w:cs="Arial"/>
        </w:rPr>
      </w:pPr>
      <w:r w:rsidRPr="00BB1FEA">
        <w:rPr>
          <w:rFonts w:ascii="Arial" w:hAnsi="Arial" w:cs="Arial"/>
        </w:rPr>
        <w:t>Failure to return a key when requested by a H&amp;B Group authorised person, or upon leaving the employment of H&amp;B Group</w:t>
      </w:r>
    </w:p>
    <w:p w:rsidR="0089722C" w:rsidRPr="00BB1FEA" w:rsidRDefault="0089722C" w:rsidP="0089722C">
      <w:pPr>
        <w:pStyle w:val="ListParagraph"/>
        <w:numPr>
          <w:ilvl w:val="0"/>
          <w:numId w:val="1"/>
        </w:numPr>
        <w:spacing w:after="200" w:line="360" w:lineRule="auto"/>
        <w:contextualSpacing/>
        <w:rPr>
          <w:rFonts w:ascii="Arial" w:hAnsi="Arial" w:cs="Arial"/>
        </w:rPr>
      </w:pPr>
      <w:r w:rsidRPr="00BB1FEA">
        <w:rPr>
          <w:rFonts w:ascii="Arial" w:hAnsi="Arial" w:cs="Arial"/>
        </w:rPr>
        <w:t xml:space="preserve">Failure to report lost keys </w:t>
      </w:r>
    </w:p>
    <w:p w:rsidR="0089722C" w:rsidRDefault="0089722C" w:rsidP="0089722C">
      <w:pPr>
        <w:spacing w:line="360" w:lineRule="auto"/>
        <w:jc w:val="both"/>
        <w:rPr>
          <w:rFonts w:ascii="Arial" w:hAnsi="Arial" w:cs="Arial"/>
          <w:b/>
          <w:sz w:val="22"/>
          <w:szCs w:val="22"/>
        </w:rPr>
      </w:pPr>
    </w:p>
    <w:p w:rsidR="0089722C" w:rsidRPr="00BB1FEA" w:rsidRDefault="0089722C" w:rsidP="0089722C">
      <w:pPr>
        <w:spacing w:line="360" w:lineRule="auto"/>
        <w:jc w:val="both"/>
        <w:rPr>
          <w:rFonts w:ascii="Arial" w:hAnsi="Arial" w:cs="Arial"/>
          <w:b/>
          <w:sz w:val="22"/>
          <w:szCs w:val="22"/>
        </w:rPr>
      </w:pPr>
      <w:r w:rsidRPr="00BB1FEA">
        <w:rPr>
          <w:rFonts w:ascii="Arial" w:hAnsi="Arial" w:cs="Arial"/>
          <w:b/>
          <w:sz w:val="22"/>
          <w:szCs w:val="22"/>
        </w:rPr>
        <w:t xml:space="preserve">Overall Responsibility for Key Management </w:t>
      </w:r>
    </w:p>
    <w:p w:rsidR="0089722C" w:rsidRPr="00BB1FEA" w:rsidRDefault="0089722C" w:rsidP="0089722C">
      <w:pPr>
        <w:spacing w:line="360" w:lineRule="auto"/>
        <w:jc w:val="both"/>
        <w:rPr>
          <w:rFonts w:ascii="Arial" w:hAnsi="Arial" w:cs="Arial"/>
          <w:sz w:val="20"/>
        </w:rPr>
      </w:pPr>
      <w:r w:rsidRPr="00BB1FEA">
        <w:rPr>
          <w:rFonts w:ascii="Arial" w:hAnsi="Arial" w:cs="Arial"/>
          <w:sz w:val="20"/>
        </w:rPr>
        <w:t>The strategic management of H&amp;B Group’s keys and locks will be the responsibility of the Estates Division who will manage the fitting of all locks and the supply and issue of keys to Departments.</w:t>
      </w:r>
    </w:p>
    <w:p w:rsidR="0089722C" w:rsidRPr="00BB1FEA" w:rsidRDefault="0089722C" w:rsidP="0089722C">
      <w:pPr>
        <w:spacing w:line="360" w:lineRule="auto"/>
        <w:jc w:val="both"/>
        <w:rPr>
          <w:rFonts w:ascii="Arial" w:hAnsi="Arial" w:cs="Arial"/>
          <w:b/>
          <w:sz w:val="20"/>
        </w:rPr>
      </w:pPr>
    </w:p>
    <w:p w:rsidR="0089722C" w:rsidRPr="00BB1FEA" w:rsidRDefault="0089722C" w:rsidP="0089722C">
      <w:pPr>
        <w:spacing w:line="360" w:lineRule="auto"/>
        <w:jc w:val="both"/>
        <w:rPr>
          <w:rFonts w:ascii="Arial" w:hAnsi="Arial" w:cs="Arial"/>
          <w:b/>
          <w:sz w:val="20"/>
        </w:rPr>
      </w:pPr>
    </w:p>
    <w:p w:rsidR="0089722C" w:rsidRPr="00BB1FEA" w:rsidRDefault="0089722C" w:rsidP="0089722C">
      <w:pPr>
        <w:spacing w:line="360" w:lineRule="auto"/>
        <w:jc w:val="both"/>
        <w:rPr>
          <w:rFonts w:ascii="Arial" w:hAnsi="Arial" w:cs="Arial"/>
          <w:b/>
          <w:sz w:val="22"/>
          <w:szCs w:val="22"/>
        </w:rPr>
      </w:pPr>
      <w:r w:rsidRPr="00BB1FEA">
        <w:rPr>
          <w:rFonts w:ascii="Arial" w:hAnsi="Arial" w:cs="Arial"/>
          <w:b/>
          <w:sz w:val="22"/>
          <w:szCs w:val="22"/>
        </w:rPr>
        <w:t xml:space="preserve">Departmental Responsibilities </w:t>
      </w:r>
    </w:p>
    <w:p w:rsidR="0089722C" w:rsidRPr="00BB1FEA" w:rsidRDefault="0089722C" w:rsidP="0089722C">
      <w:pPr>
        <w:spacing w:line="360" w:lineRule="auto"/>
        <w:jc w:val="both"/>
        <w:rPr>
          <w:rFonts w:ascii="Arial" w:hAnsi="Arial" w:cs="Arial"/>
          <w:sz w:val="20"/>
        </w:rPr>
      </w:pPr>
      <w:r w:rsidRPr="00BB1FEA">
        <w:rPr>
          <w:rFonts w:ascii="Arial" w:hAnsi="Arial" w:cs="Arial"/>
          <w:sz w:val="20"/>
        </w:rPr>
        <w:t>Departments may only obtain keys to H&amp;B Group facilities and sites from the Estates Division. Heads of Departments are responsible for keys issued for buildings, areas and spaces within their control. They are also responsible for:</w:t>
      </w:r>
    </w:p>
    <w:p w:rsidR="0089722C" w:rsidRPr="00BB1FEA" w:rsidRDefault="0089722C" w:rsidP="0089722C">
      <w:pPr>
        <w:pStyle w:val="ListParagraph"/>
        <w:numPr>
          <w:ilvl w:val="0"/>
          <w:numId w:val="2"/>
        </w:numPr>
        <w:spacing w:after="200" w:line="360" w:lineRule="auto"/>
        <w:contextualSpacing/>
        <w:rPr>
          <w:rFonts w:ascii="Arial" w:hAnsi="Arial" w:cs="Arial"/>
        </w:rPr>
      </w:pPr>
      <w:r w:rsidRPr="00BB1FEA">
        <w:rPr>
          <w:rFonts w:ascii="Arial" w:hAnsi="Arial" w:cs="Arial"/>
        </w:rPr>
        <w:t xml:space="preserve">Maintaining records of keys received and issued </w:t>
      </w:r>
    </w:p>
    <w:p w:rsidR="0089722C" w:rsidRPr="00BB1FEA" w:rsidRDefault="0089722C" w:rsidP="0089722C">
      <w:pPr>
        <w:pStyle w:val="ListParagraph"/>
        <w:numPr>
          <w:ilvl w:val="0"/>
          <w:numId w:val="2"/>
        </w:numPr>
        <w:spacing w:after="200" w:line="360" w:lineRule="auto"/>
        <w:contextualSpacing/>
        <w:rPr>
          <w:rFonts w:ascii="Arial" w:hAnsi="Arial" w:cs="Arial"/>
        </w:rPr>
      </w:pPr>
      <w:r w:rsidRPr="00BB1FEA">
        <w:rPr>
          <w:rFonts w:ascii="Arial" w:hAnsi="Arial" w:cs="Arial"/>
        </w:rPr>
        <w:t>Periodically auditing all key records by comparing with the Estates master key roll</w:t>
      </w:r>
    </w:p>
    <w:p w:rsidR="0089722C" w:rsidRPr="00BB1FEA" w:rsidRDefault="0089722C" w:rsidP="0089722C">
      <w:pPr>
        <w:pStyle w:val="ListParagraph"/>
        <w:numPr>
          <w:ilvl w:val="0"/>
          <w:numId w:val="2"/>
        </w:numPr>
        <w:spacing w:after="200" w:line="360" w:lineRule="auto"/>
        <w:contextualSpacing/>
        <w:rPr>
          <w:rFonts w:ascii="Arial" w:hAnsi="Arial" w:cs="Arial"/>
        </w:rPr>
      </w:pPr>
      <w:r w:rsidRPr="00BB1FEA">
        <w:rPr>
          <w:rFonts w:ascii="Arial" w:hAnsi="Arial" w:cs="Arial"/>
        </w:rPr>
        <w:t xml:space="preserve">Reporting all lost keys to the Estates Division </w:t>
      </w:r>
    </w:p>
    <w:p w:rsidR="0089722C" w:rsidRPr="00BB1FEA" w:rsidRDefault="0089722C" w:rsidP="0089722C">
      <w:pPr>
        <w:spacing w:line="360" w:lineRule="auto"/>
        <w:jc w:val="both"/>
        <w:rPr>
          <w:rFonts w:ascii="Arial" w:hAnsi="Arial" w:cs="Arial"/>
          <w:b/>
          <w:sz w:val="22"/>
          <w:szCs w:val="22"/>
        </w:rPr>
      </w:pPr>
      <w:r w:rsidRPr="00BB1FEA">
        <w:rPr>
          <w:rFonts w:ascii="Arial" w:hAnsi="Arial" w:cs="Arial"/>
          <w:b/>
          <w:sz w:val="22"/>
          <w:szCs w:val="22"/>
        </w:rPr>
        <w:t xml:space="preserve">Key Issue </w:t>
      </w:r>
    </w:p>
    <w:p w:rsidR="0089722C" w:rsidRPr="00BB1FEA" w:rsidRDefault="0089722C" w:rsidP="0089722C">
      <w:pPr>
        <w:spacing w:line="360" w:lineRule="auto"/>
        <w:jc w:val="both"/>
        <w:rPr>
          <w:rFonts w:ascii="Arial" w:hAnsi="Arial" w:cs="Arial"/>
          <w:sz w:val="20"/>
        </w:rPr>
      </w:pPr>
      <w:r w:rsidRPr="00BB1FEA">
        <w:rPr>
          <w:rFonts w:ascii="Arial" w:hAnsi="Arial" w:cs="Arial"/>
          <w:sz w:val="20"/>
        </w:rPr>
        <w:t xml:space="preserve">A key issue log will be maintained with each individual key number noted. A signature and date will be recorded against each entry on issue of that key. </w:t>
      </w:r>
    </w:p>
    <w:p w:rsidR="0089722C" w:rsidRPr="00BB1FEA" w:rsidRDefault="0089722C" w:rsidP="0089722C">
      <w:pPr>
        <w:spacing w:line="360" w:lineRule="auto"/>
        <w:jc w:val="both"/>
        <w:rPr>
          <w:rFonts w:ascii="Arial" w:hAnsi="Arial" w:cs="Arial"/>
          <w:sz w:val="20"/>
        </w:rPr>
      </w:pPr>
    </w:p>
    <w:p w:rsidR="0089722C" w:rsidRPr="00BB1FEA" w:rsidRDefault="0089722C" w:rsidP="0089722C">
      <w:pPr>
        <w:spacing w:line="360" w:lineRule="auto"/>
        <w:jc w:val="both"/>
        <w:rPr>
          <w:rFonts w:ascii="Arial" w:hAnsi="Arial" w:cs="Arial"/>
          <w:b/>
          <w:sz w:val="22"/>
          <w:szCs w:val="22"/>
        </w:rPr>
      </w:pPr>
      <w:r w:rsidRPr="00BB1FEA">
        <w:rPr>
          <w:rFonts w:ascii="Arial" w:hAnsi="Arial" w:cs="Arial"/>
          <w:b/>
          <w:sz w:val="22"/>
          <w:szCs w:val="22"/>
        </w:rPr>
        <w:t xml:space="preserve">Return of Keys </w:t>
      </w:r>
    </w:p>
    <w:p w:rsidR="0089722C" w:rsidRPr="00BB1FEA" w:rsidRDefault="0089722C" w:rsidP="0089722C">
      <w:pPr>
        <w:spacing w:line="360" w:lineRule="auto"/>
        <w:jc w:val="both"/>
        <w:rPr>
          <w:rFonts w:ascii="Arial" w:hAnsi="Arial" w:cs="Arial"/>
          <w:sz w:val="20"/>
        </w:rPr>
      </w:pPr>
      <w:r w:rsidRPr="00BB1FEA">
        <w:rPr>
          <w:rFonts w:ascii="Arial" w:hAnsi="Arial" w:cs="Arial"/>
          <w:sz w:val="20"/>
        </w:rPr>
        <w:t>Line Managers will be responsible for signing keys out to staff on initial issue where they require personal keys. They are also to ensure that, on leaving H&amp;B Group, individuals return all their keys so they can be signed back in and re-issued or destroyed. Staff who do not adhere to this may be subject to the relevant Disciplinary procedure.</w:t>
      </w:r>
    </w:p>
    <w:p w:rsidR="0089722C" w:rsidRPr="00BB1FEA" w:rsidRDefault="0089722C" w:rsidP="0089722C">
      <w:pPr>
        <w:spacing w:line="360" w:lineRule="auto"/>
        <w:jc w:val="both"/>
        <w:rPr>
          <w:rFonts w:ascii="Arial" w:hAnsi="Arial" w:cs="Arial"/>
          <w:sz w:val="20"/>
        </w:rPr>
      </w:pPr>
    </w:p>
    <w:p w:rsidR="0089722C" w:rsidRPr="00BB1FEA" w:rsidRDefault="0089722C" w:rsidP="0089722C">
      <w:pPr>
        <w:spacing w:line="360" w:lineRule="auto"/>
        <w:jc w:val="both"/>
        <w:rPr>
          <w:rFonts w:ascii="Arial" w:hAnsi="Arial" w:cs="Arial"/>
          <w:b/>
          <w:sz w:val="22"/>
          <w:szCs w:val="22"/>
        </w:rPr>
      </w:pPr>
      <w:r w:rsidRPr="00BB1FEA">
        <w:rPr>
          <w:rFonts w:ascii="Arial" w:hAnsi="Arial" w:cs="Arial"/>
          <w:b/>
          <w:sz w:val="22"/>
          <w:szCs w:val="22"/>
        </w:rPr>
        <w:t xml:space="preserve">Office/Building Transfer of Staff </w:t>
      </w:r>
    </w:p>
    <w:p w:rsidR="0089722C" w:rsidRPr="00BB1FEA" w:rsidRDefault="0089722C" w:rsidP="0089722C">
      <w:pPr>
        <w:spacing w:line="360" w:lineRule="auto"/>
        <w:jc w:val="both"/>
        <w:rPr>
          <w:rFonts w:ascii="Arial" w:hAnsi="Arial" w:cs="Arial"/>
          <w:sz w:val="20"/>
        </w:rPr>
      </w:pPr>
      <w:r w:rsidRPr="00BB1FEA">
        <w:rPr>
          <w:rFonts w:ascii="Arial" w:hAnsi="Arial" w:cs="Arial"/>
          <w:sz w:val="20"/>
        </w:rPr>
        <w:t xml:space="preserve">Individuals moving to another office or building must return all relevant keys to their Line Manager within one working day of transferring to the new location. Employees shall not exchange keys, including file cabinet or desk keys, with any other employee. To obtain keys for a new office, the proper issuing procedure must be followed. </w:t>
      </w:r>
    </w:p>
    <w:p w:rsidR="0089722C" w:rsidRPr="00BB1FEA" w:rsidRDefault="0089722C" w:rsidP="0089722C">
      <w:pPr>
        <w:spacing w:line="360" w:lineRule="auto"/>
        <w:jc w:val="both"/>
        <w:rPr>
          <w:rFonts w:ascii="Arial" w:hAnsi="Arial" w:cs="Arial"/>
          <w:sz w:val="20"/>
        </w:rPr>
      </w:pPr>
    </w:p>
    <w:p w:rsidR="0089722C" w:rsidRDefault="0089722C" w:rsidP="0089722C">
      <w:pPr>
        <w:spacing w:line="360" w:lineRule="auto"/>
        <w:jc w:val="both"/>
        <w:rPr>
          <w:rFonts w:ascii="Arial" w:hAnsi="Arial" w:cs="Arial"/>
          <w:b/>
          <w:sz w:val="22"/>
          <w:szCs w:val="22"/>
        </w:rPr>
      </w:pPr>
    </w:p>
    <w:p w:rsidR="0089722C" w:rsidRPr="00BB1FEA" w:rsidRDefault="0089722C" w:rsidP="0089722C">
      <w:pPr>
        <w:spacing w:line="360" w:lineRule="auto"/>
        <w:jc w:val="both"/>
        <w:rPr>
          <w:rFonts w:ascii="Arial" w:hAnsi="Arial" w:cs="Arial"/>
          <w:b/>
          <w:sz w:val="22"/>
          <w:szCs w:val="22"/>
        </w:rPr>
      </w:pPr>
      <w:r w:rsidRPr="00BB1FEA">
        <w:rPr>
          <w:rFonts w:ascii="Arial" w:hAnsi="Arial" w:cs="Arial"/>
          <w:b/>
          <w:sz w:val="22"/>
          <w:szCs w:val="22"/>
        </w:rPr>
        <w:t xml:space="preserve">Termination of Employment </w:t>
      </w:r>
    </w:p>
    <w:p w:rsidR="0089722C" w:rsidRPr="00BB1FEA" w:rsidRDefault="0089722C" w:rsidP="0089722C">
      <w:pPr>
        <w:spacing w:line="360" w:lineRule="auto"/>
        <w:jc w:val="both"/>
        <w:rPr>
          <w:rFonts w:ascii="Arial" w:hAnsi="Arial" w:cs="Arial"/>
          <w:sz w:val="20"/>
        </w:rPr>
      </w:pPr>
      <w:r w:rsidRPr="00BB1FEA">
        <w:rPr>
          <w:rFonts w:ascii="Arial" w:hAnsi="Arial" w:cs="Arial"/>
          <w:sz w:val="20"/>
        </w:rPr>
        <w:t>All staff that leave H&amp;B Group (or who have temporarily been issued with H&amp;B keys) must return all keys to their Line Manager prior to their departure, and the key database amended accordingly. Human Resources will ask the individual to return their keys (in the official ‘leaver letter’) and will inform the Estates Division accordingly. When an employee is dismissed, Human Resources will ask the individual to return all of their keys (in the official ‘leaver letter’) and will inform the Estates Division.</w:t>
      </w:r>
    </w:p>
    <w:p w:rsidR="0089722C" w:rsidRPr="00BB1FEA" w:rsidRDefault="0089722C" w:rsidP="0089722C">
      <w:pPr>
        <w:spacing w:line="360" w:lineRule="auto"/>
        <w:jc w:val="both"/>
        <w:rPr>
          <w:rFonts w:ascii="Arial" w:hAnsi="Arial" w:cs="Arial"/>
          <w:sz w:val="20"/>
        </w:rPr>
      </w:pPr>
    </w:p>
    <w:p w:rsidR="0089722C" w:rsidRPr="00BB1FEA" w:rsidRDefault="0089722C" w:rsidP="0089722C">
      <w:pPr>
        <w:spacing w:line="360" w:lineRule="auto"/>
        <w:jc w:val="both"/>
        <w:rPr>
          <w:rFonts w:ascii="Arial" w:hAnsi="Arial" w:cs="Arial"/>
          <w:b/>
          <w:sz w:val="22"/>
          <w:szCs w:val="22"/>
        </w:rPr>
      </w:pPr>
      <w:r w:rsidRPr="00BB1FEA">
        <w:rPr>
          <w:rFonts w:ascii="Arial" w:hAnsi="Arial" w:cs="Arial"/>
          <w:b/>
          <w:sz w:val="22"/>
          <w:szCs w:val="22"/>
        </w:rPr>
        <w:t xml:space="preserve">Lost, Missing or Stolen Keys </w:t>
      </w:r>
    </w:p>
    <w:p w:rsidR="0089722C" w:rsidRPr="00BB1FEA" w:rsidRDefault="0089722C" w:rsidP="0089722C">
      <w:pPr>
        <w:spacing w:line="360" w:lineRule="auto"/>
        <w:jc w:val="both"/>
        <w:rPr>
          <w:rFonts w:ascii="Arial" w:hAnsi="Arial" w:cs="Arial"/>
          <w:sz w:val="20"/>
        </w:rPr>
      </w:pPr>
      <w:r w:rsidRPr="00BB1FEA">
        <w:rPr>
          <w:rFonts w:ascii="Arial" w:hAnsi="Arial" w:cs="Arial"/>
          <w:sz w:val="20"/>
        </w:rPr>
        <w:t>Any stolen, lost or missing keys must be reported to the Line Manager immediately who should investigate the circumstances surrounding the loss. A summary of his/her findings should then be given to the Estates Division. An assessment based on the circumstances will then be made as to the necessity for remedial measures. In many such circumstances, individuals or departments will be required to pay for any lost missing or stolen keys. This may include lock replacement if the security risk makes it necessary to replace any locks.</w:t>
      </w:r>
    </w:p>
    <w:p w:rsidR="0089722C" w:rsidRPr="00BB1FEA" w:rsidRDefault="0089722C" w:rsidP="0089722C">
      <w:pPr>
        <w:spacing w:line="360" w:lineRule="auto"/>
        <w:jc w:val="both"/>
        <w:rPr>
          <w:rFonts w:ascii="Arial" w:hAnsi="Arial" w:cs="Arial"/>
          <w:sz w:val="20"/>
        </w:rPr>
      </w:pPr>
    </w:p>
    <w:p w:rsidR="0089722C" w:rsidRPr="00BB1FEA" w:rsidRDefault="0089722C" w:rsidP="0089722C">
      <w:pPr>
        <w:spacing w:line="360" w:lineRule="auto"/>
        <w:jc w:val="both"/>
        <w:rPr>
          <w:rFonts w:ascii="Arial" w:hAnsi="Arial" w:cs="Arial"/>
          <w:b/>
          <w:sz w:val="22"/>
          <w:szCs w:val="22"/>
        </w:rPr>
      </w:pPr>
      <w:r w:rsidRPr="00BB1FEA">
        <w:rPr>
          <w:rFonts w:ascii="Arial" w:hAnsi="Arial" w:cs="Arial"/>
          <w:b/>
          <w:sz w:val="22"/>
          <w:szCs w:val="22"/>
        </w:rPr>
        <w:t xml:space="preserve">Requests for Replacement Keys </w:t>
      </w:r>
    </w:p>
    <w:p w:rsidR="0089722C" w:rsidRPr="00BB1FEA" w:rsidRDefault="0089722C" w:rsidP="0089722C">
      <w:pPr>
        <w:spacing w:line="360" w:lineRule="auto"/>
        <w:jc w:val="both"/>
        <w:rPr>
          <w:rFonts w:ascii="Arial" w:hAnsi="Arial" w:cs="Arial"/>
          <w:sz w:val="20"/>
        </w:rPr>
      </w:pPr>
      <w:r w:rsidRPr="00BB1FEA">
        <w:rPr>
          <w:rFonts w:ascii="Arial" w:hAnsi="Arial" w:cs="Arial"/>
          <w:sz w:val="20"/>
        </w:rPr>
        <w:t xml:space="preserve">A request for a replacement key must be submitted via the Line Manager to the Estates Division, indicating that the key was lost. Key replacement costs and/or lock rekeying will be considered on a case-by-case basis and is dependent upon the security level of the particular lost key. The cost of re-keying sensitive areas due to a lost key will be estimated and charged to the key holder through invoice and, if not collected, will become the responsibility of the key-holder’s department. </w:t>
      </w:r>
    </w:p>
    <w:p w:rsidR="0089722C" w:rsidRPr="00BB1FEA" w:rsidRDefault="0089722C" w:rsidP="0089722C">
      <w:pPr>
        <w:spacing w:line="360" w:lineRule="auto"/>
        <w:jc w:val="both"/>
        <w:rPr>
          <w:rFonts w:ascii="Arial" w:hAnsi="Arial" w:cs="Arial"/>
          <w:sz w:val="20"/>
        </w:rPr>
      </w:pPr>
    </w:p>
    <w:p w:rsidR="0089722C" w:rsidRPr="00BB1FEA" w:rsidRDefault="0089722C" w:rsidP="0089722C">
      <w:pPr>
        <w:spacing w:line="360" w:lineRule="auto"/>
        <w:jc w:val="both"/>
        <w:rPr>
          <w:rFonts w:ascii="Arial" w:hAnsi="Arial" w:cs="Arial"/>
          <w:b/>
          <w:sz w:val="22"/>
          <w:szCs w:val="22"/>
        </w:rPr>
      </w:pPr>
      <w:r w:rsidRPr="00BB1FEA">
        <w:rPr>
          <w:rFonts w:ascii="Arial" w:hAnsi="Arial" w:cs="Arial"/>
          <w:b/>
          <w:sz w:val="22"/>
          <w:szCs w:val="22"/>
        </w:rPr>
        <w:t xml:space="preserve">Contractors, Vendors and other Visitors </w:t>
      </w:r>
    </w:p>
    <w:p w:rsidR="0089722C" w:rsidRPr="00BB1FEA" w:rsidRDefault="0089722C" w:rsidP="0089722C">
      <w:pPr>
        <w:spacing w:line="360" w:lineRule="auto"/>
        <w:jc w:val="both"/>
        <w:rPr>
          <w:rFonts w:ascii="Arial" w:hAnsi="Arial" w:cs="Arial"/>
          <w:sz w:val="20"/>
        </w:rPr>
      </w:pPr>
      <w:r w:rsidRPr="00BB1FEA">
        <w:rPr>
          <w:rFonts w:ascii="Arial" w:hAnsi="Arial" w:cs="Arial"/>
          <w:sz w:val="20"/>
        </w:rPr>
        <w:t>A separate Key Policy detailing security arrangements for outside contractors and other authorised visitors will be made available to any member of staff initiating such visits. He/she will be responsible for ensuring no breaches to short-term or long-term security occur through these visits. No staff should be expected to lend keys for which they are responsible, to other parties to gain access to H&amp;B Group buildings and facilities unless specifically authorised by their Line Manager.</w:t>
      </w:r>
    </w:p>
    <w:p w:rsidR="0089722C" w:rsidRDefault="0089722C" w:rsidP="0089722C">
      <w:pPr>
        <w:spacing w:line="360" w:lineRule="auto"/>
        <w:jc w:val="both"/>
        <w:rPr>
          <w:rFonts w:ascii="Arial" w:hAnsi="Arial" w:cs="Arial"/>
          <w:sz w:val="20"/>
        </w:rPr>
      </w:pPr>
    </w:p>
    <w:p w:rsidR="0089722C" w:rsidRDefault="0089722C" w:rsidP="0089722C">
      <w:pPr>
        <w:spacing w:line="360" w:lineRule="auto"/>
        <w:jc w:val="both"/>
        <w:rPr>
          <w:rFonts w:ascii="Arial" w:hAnsi="Arial" w:cs="Arial"/>
          <w:sz w:val="20"/>
        </w:rPr>
      </w:pPr>
    </w:p>
    <w:p w:rsidR="0089722C" w:rsidRDefault="0089722C" w:rsidP="0089722C">
      <w:pPr>
        <w:spacing w:line="360" w:lineRule="auto"/>
        <w:rPr>
          <w:rFonts w:ascii="Arial" w:hAnsi="Arial" w:cs="Arial"/>
          <w:sz w:val="20"/>
        </w:rPr>
      </w:pPr>
    </w:p>
    <w:p w:rsidR="0089722C" w:rsidRDefault="0089722C" w:rsidP="0089722C">
      <w:pPr>
        <w:spacing w:line="360" w:lineRule="auto"/>
        <w:rPr>
          <w:rFonts w:ascii="Arial" w:hAnsi="Arial" w:cs="Arial"/>
          <w:b/>
          <w:sz w:val="22"/>
          <w:szCs w:val="22"/>
        </w:rPr>
      </w:pPr>
    </w:p>
    <w:p w:rsidR="0089722C" w:rsidRDefault="0089722C" w:rsidP="0089722C">
      <w:pPr>
        <w:spacing w:line="360" w:lineRule="auto"/>
        <w:rPr>
          <w:rFonts w:ascii="Arial" w:hAnsi="Arial" w:cs="Arial"/>
          <w:b/>
          <w:sz w:val="22"/>
          <w:szCs w:val="22"/>
        </w:rPr>
      </w:pPr>
    </w:p>
    <w:p w:rsidR="0024207B" w:rsidRDefault="0024207B"/>
    <w:sectPr w:rsidR="0024207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3AB" w:rsidRDefault="005E73AB" w:rsidP="00B03AD8">
      <w:r>
        <w:separator/>
      </w:r>
    </w:p>
  </w:endnote>
  <w:endnote w:type="continuationSeparator" w:id="0">
    <w:p w:rsidR="005E73AB" w:rsidRDefault="005E73AB" w:rsidP="00B0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5177368"/>
      <w:docPartObj>
        <w:docPartGallery w:val="Page Numbers (Bottom of Page)"/>
        <w:docPartUnique/>
      </w:docPartObj>
    </w:sdtPr>
    <w:sdtEndPr>
      <w:rPr>
        <w:rFonts w:asciiTheme="minorHAnsi" w:hAnsiTheme="minorHAnsi"/>
        <w:sz w:val="20"/>
      </w:rPr>
    </w:sdtEndPr>
    <w:sdtContent>
      <w:sdt>
        <w:sdtPr>
          <w:rPr>
            <w:rFonts w:asciiTheme="minorHAnsi" w:hAnsiTheme="minorHAnsi"/>
            <w:sz w:val="20"/>
          </w:rPr>
          <w:id w:val="860082579"/>
          <w:docPartObj>
            <w:docPartGallery w:val="Page Numbers (Top of Page)"/>
            <w:docPartUnique/>
          </w:docPartObj>
        </w:sdtPr>
        <w:sdtEndPr/>
        <w:sdtContent>
          <w:p w:rsidR="00B03AD8" w:rsidRPr="00B03AD8" w:rsidRDefault="00B03AD8" w:rsidP="00B03AD8">
            <w:pPr>
              <w:pStyle w:val="Footer"/>
              <w:rPr>
                <w:rFonts w:asciiTheme="minorHAnsi" w:hAnsiTheme="minorHAnsi"/>
                <w:sz w:val="20"/>
              </w:rPr>
            </w:pPr>
            <w:r w:rsidRPr="00B03AD8">
              <w:rPr>
                <w:rFonts w:asciiTheme="minorHAnsi" w:hAnsiTheme="minorHAnsi"/>
                <w:sz w:val="20"/>
              </w:rPr>
              <w:t>Version:  V1.0</w:t>
            </w:r>
            <w:r w:rsidRPr="00B03AD8">
              <w:rPr>
                <w:rFonts w:asciiTheme="minorHAnsi" w:hAnsiTheme="minorHAnsi"/>
                <w:sz w:val="20"/>
              </w:rPr>
              <w:tab/>
            </w:r>
            <w:r w:rsidRPr="00B03AD8">
              <w:rPr>
                <w:rFonts w:asciiTheme="minorHAnsi" w:hAnsiTheme="minorHAnsi"/>
                <w:sz w:val="20"/>
              </w:rPr>
              <w:tab/>
              <w:t xml:space="preserve">Page </w:t>
            </w:r>
            <w:r w:rsidRPr="00B03AD8">
              <w:rPr>
                <w:rFonts w:asciiTheme="minorHAnsi" w:hAnsiTheme="minorHAnsi"/>
                <w:b/>
                <w:bCs/>
                <w:sz w:val="20"/>
                <w:szCs w:val="24"/>
              </w:rPr>
              <w:fldChar w:fldCharType="begin"/>
            </w:r>
            <w:r w:rsidRPr="00B03AD8">
              <w:rPr>
                <w:rFonts w:asciiTheme="minorHAnsi" w:hAnsiTheme="minorHAnsi"/>
                <w:b/>
                <w:bCs/>
                <w:sz w:val="20"/>
              </w:rPr>
              <w:instrText xml:space="preserve"> PAGE </w:instrText>
            </w:r>
            <w:r w:rsidRPr="00B03AD8">
              <w:rPr>
                <w:rFonts w:asciiTheme="minorHAnsi" w:hAnsiTheme="minorHAnsi"/>
                <w:b/>
                <w:bCs/>
                <w:sz w:val="20"/>
                <w:szCs w:val="24"/>
              </w:rPr>
              <w:fldChar w:fldCharType="separate"/>
            </w:r>
            <w:r w:rsidR="007E1F0E">
              <w:rPr>
                <w:rFonts w:asciiTheme="minorHAnsi" w:hAnsiTheme="minorHAnsi"/>
                <w:b/>
                <w:bCs/>
                <w:noProof/>
                <w:sz w:val="20"/>
              </w:rPr>
              <w:t>1</w:t>
            </w:r>
            <w:r w:rsidRPr="00B03AD8">
              <w:rPr>
                <w:rFonts w:asciiTheme="minorHAnsi" w:hAnsiTheme="minorHAnsi"/>
                <w:b/>
                <w:bCs/>
                <w:sz w:val="20"/>
                <w:szCs w:val="24"/>
              </w:rPr>
              <w:fldChar w:fldCharType="end"/>
            </w:r>
            <w:r w:rsidRPr="00B03AD8">
              <w:rPr>
                <w:rFonts w:asciiTheme="minorHAnsi" w:hAnsiTheme="minorHAnsi"/>
                <w:sz w:val="20"/>
              </w:rPr>
              <w:t xml:space="preserve"> of </w:t>
            </w:r>
            <w:r w:rsidRPr="00B03AD8">
              <w:rPr>
                <w:rFonts w:asciiTheme="minorHAnsi" w:hAnsiTheme="minorHAnsi"/>
                <w:b/>
                <w:bCs/>
                <w:sz w:val="20"/>
                <w:szCs w:val="24"/>
              </w:rPr>
              <w:fldChar w:fldCharType="begin"/>
            </w:r>
            <w:r w:rsidRPr="00B03AD8">
              <w:rPr>
                <w:rFonts w:asciiTheme="minorHAnsi" w:hAnsiTheme="minorHAnsi"/>
                <w:b/>
                <w:bCs/>
                <w:sz w:val="20"/>
              </w:rPr>
              <w:instrText xml:space="preserve"> NUMPAGES  </w:instrText>
            </w:r>
            <w:r w:rsidRPr="00B03AD8">
              <w:rPr>
                <w:rFonts w:asciiTheme="minorHAnsi" w:hAnsiTheme="minorHAnsi"/>
                <w:b/>
                <w:bCs/>
                <w:sz w:val="20"/>
                <w:szCs w:val="24"/>
              </w:rPr>
              <w:fldChar w:fldCharType="separate"/>
            </w:r>
            <w:r w:rsidR="007E1F0E">
              <w:rPr>
                <w:rFonts w:asciiTheme="minorHAnsi" w:hAnsiTheme="minorHAnsi"/>
                <w:b/>
                <w:bCs/>
                <w:noProof/>
                <w:sz w:val="20"/>
              </w:rPr>
              <w:t>3</w:t>
            </w:r>
            <w:r w:rsidRPr="00B03AD8">
              <w:rPr>
                <w:rFonts w:asciiTheme="minorHAnsi" w:hAnsiTheme="minorHAnsi"/>
                <w:b/>
                <w:bCs/>
                <w:sz w:val="20"/>
                <w:szCs w:val="24"/>
              </w:rPr>
              <w:fldChar w:fldCharType="end"/>
            </w:r>
          </w:p>
        </w:sdtContent>
      </w:sdt>
      <w:p w:rsidR="00B03AD8" w:rsidRPr="00B03AD8" w:rsidRDefault="00B03AD8" w:rsidP="00B03AD8">
        <w:pPr>
          <w:pStyle w:val="Footer"/>
          <w:rPr>
            <w:rFonts w:asciiTheme="minorHAnsi" w:hAnsiTheme="minorHAnsi"/>
            <w:sz w:val="20"/>
          </w:rPr>
        </w:pPr>
        <w:r>
          <w:rPr>
            <w:rFonts w:asciiTheme="minorHAnsi" w:hAnsiTheme="minorHAnsi"/>
            <w:sz w:val="20"/>
          </w:rPr>
          <w:t xml:space="preserve">Date:       </w:t>
        </w:r>
        <w:r w:rsidRPr="00B03AD8">
          <w:rPr>
            <w:rFonts w:asciiTheme="minorHAnsi" w:hAnsiTheme="minorHAnsi"/>
            <w:sz w:val="20"/>
          </w:rPr>
          <w:t>August, 2017</w:t>
        </w:r>
      </w:p>
    </w:sdtContent>
  </w:sdt>
  <w:p w:rsidR="00B03AD8" w:rsidRDefault="00B03A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3AB" w:rsidRDefault="005E73AB" w:rsidP="00B03AD8">
      <w:r>
        <w:separator/>
      </w:r>
    </w:p>
  </w:footnote>
  <w:footnote w:type="continuationSeparator" w:id="0">
    <w:p w:rsidR="005E73AB" w:rsidRDefault="005E73AB" w:rsidP="00B03A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3105A"/>
    <w:multiLevelType w:val="hybridMultilevel"/>
    <w:tmpl w:val="E508F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4C57BE8"/>
    <w:multiLevelType w:val="hybridMultilevel"/>
    <w:tmpl w:val="6DE44A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22C"/>
    <w:rsid w:val="00013891"/>
    <w:rsid w:val="0010219C"/>
    <w:rsid w:val="0024207B"/>
    <w:rsid w:val="005E73AB"/>
    <w:rsid w:val="007E1F0E"/>
    <w:rsid w:val="0089722C"/>
    <w:rsid w:val="00B03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22C"/>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22C"/>
    <w:pPr>
      <w:ind w:left="720"/>
      <w:jc w:val="both"/>
    </w:pPr>
    <w:rPr>
      <w:rFonts w:ascii="Tahoma" w:hAnsi="Tahoma"/>
      <w:sz w:val="20"/>
    </w:rPr>
  </w:style>
  <w:style w:type="paragraph" w:customStyle="1" w:styleId="20-Modeltitel">
    <w:name w:val="20 - Model_titel"/>
    <w:basedOn w:val="Normal"/>
    <w:uiPriority w:val="99"/>
    <w:rsid w:val="0089722C"/>
    <w:pPr>
      <w:widowControl w:val="0"/>
      <w:suppressAutoHyphens/>
      <w:autoSpaceDE w:val="0"/>
      <w:spacing w:after="850" w:line="320" w:lineRule="atLeast"/>
      <w:jc w:val="center"/>
      <w:textAlignment w:val="baseline"/>
    </w:pPr>
    <w:rPr>
      <w:rFonts w:ascii="Helvetica" w:eastAsia="Calibri" w:hAnsi="Helvetica" w:cs="Helvetica"/>
      <w:caps/>
      <w:color w:val="000000"/>
      <w:spacing w:val="-4"/>
      <w:sz w:val="28"/>
      <w:szCs w:val="28"/>
      <w:lang w:val="nl-NL"/>
    </w:rPr>
  </w:style>
  <w:style w:type="paragraph" w:styleId="BalloonText">
    <w:name w:val="Balloon Text"/>
    <w:basedOn w:val="Normal"/>
    <w:link w:val="BalloonTextChar"/>
    <w:uiPriority w:val="99"/>
    <w:semiHidden/>
    <w:unhideWhenUsed/>
    <w:rsid w:val="0089722C"/>
    <w:rPr>
      <w:rFonts w:ascii="Tahoma" w:hAnsi="Tahoma" w:cs="Tahoma"/>
      <w:sz w:val="16"/>
      <w:szCs w:val="16"/>
    </w:rPr>
  </w:style>
  <w:style w:type="character" w:customStyle="1" w:styleId="BalloonTextChar">
    <w:name w:val="Balloon Text Char"/>
    <w:basedOn w:val="DefaultParagraphFont"/>
    <w:link w:val="BalloonText"/>
    <w:uiPriority w:val="99"/>
    <w:semiHidden/>
    <w:rsid w:val="0089722C"/>
    <w:rPr>
      <w:rFonts w:ascii="Tahoma" w:eastAsia="Times New Roman" w:hAnsi="Tahoma" w:cs="Tahoma"/>
      <w:sz w:val="16"/>
      <w:szCs w:val="16"/>
    </w:rPr>
  </w:style>
  <w:style w:type="paragraph" w:styleId="Header">
    <w:name w:val="header"/>
    <w:basedOn w:val="Normal"/>
    <w:link w:val="HeaderChar"/>
    <w:uiPriority w:val="99"/>
    <w:unhideWhenUsed/>
    <w:rsid w:val="00B03AD8"/>
    <w:pPr>
      <w:tabs>
        <w:tab w:val="center" w:pos="4513"/>
        <w:tab w:val="right" w:pos="9026"/>
      </w:tabs>
    </w:pPr>
  </w:style>
  <w:style w:type="character" w:customStyle="1" w:styleId="HeaderChar">
    <w:name w:val="Header Char"/>
    <w:basedOn w:val="DefaultParagraphFont"/>
    <w:link w:val="Header"/>
    <w:uiPriority w:val="99"/>
    <w:rsid w:val="00B03AD8"/>
    <w:rPr>
      <w:rFonts w:ascii="Times" w:eastAsia="Times New Roman" w:hAnsi="Times" w:cs="Times New Roman"/>
      <w:sz w:val="24"/>
      <w:szCs w:val="20"/>
    </w:rPr>
  </w:style>
  <w:style w:type="paragraph" w:styleId="Footer">
    <w:name w:val="footer"/>
    <w:basedOn w:val="Normal"/>
    <w:link w:val="FooterChar"/>
    <w:uiPriority w:val="99"/>
    <w:unhideWhenUsed/>
    <w:rsid w:val="00B03AD8"/>
    <w:pPr>
      <w:tabs>
        <w:tab w:val="center" w:pos="4513"/>
        <w:tab w:val="right" w:pos="9026"/>
      </w:tabs>
    </w:pPr>
  </w:style>
  <w:style w:type="character" w:customStyle="1" w:styleId="FooterChar">
    <w:name w:val="Footer Char"/>
    <w:basedOn w:val="DefaultParagraphFont"/>
    <w:link w:val="Footer"/>
    <w:uiPriority w:val="99"/>
    <w:rsid w:val="00B03AD8"/>
    <w:rPr>
      <w:rFonts w:ascii="Times" w:eastAsia="Times New Roman" w:hAnsi="Times"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22C"/>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22C"/>
    <w:pPr>
      <w:ind w:left="720"/>
      <w:jc w:val="both"/>
    </w:pPr>
    <w:rPr>
      <w:rFonts w:ascii="Tahoma" w:hAnsi="Tahoma"/>
      <w:sz w:val="20"/>
    </w:rPr>
  </w:style>
  <w:style w:type="paragraph" w:customStyle="1" w:styleId="20-Modeltitel">
    <w:name w:val="20 - Model_titel"/>
    <w:basedOn w:val="Normal"/>
    <w:uiPriority w:val="99"/>
    <w:rsid w:val="0089722C"/>
    <w:pPr>
      <w:widowControl w:val="0"/>
      <w:suppressAutoHyphens/>
      <w:autoSpaceDE w:val="0"/>
      <w:spacing w:after="850" w:line="320" w:lineRule="atLeast"/>
      <w:jc w:val="center"/>
      <w:textAlignment w:val="baseline"/>
    </w:pPr>
    <w:rPr>
      <w:rFonts w:ascii="Helvetica" w:eastAsia="Calibri" w:hAnsi="Helvetica" w:cs="Helvetica"/>
      <w:caps/>
      <w:color w:val="000000"/>
      <w:spacing w:val="-4"/>
      <w:sz w:val="28"/>
      <w:szCs w:val="28"/>
      <w:lang w:val="nl-NL"/>
    </w:rPr>
  </w:style>
  <w:style w:type="paragraph" w:styleId="BalloonText">
    <w:name w:val="Balloon Text"/>
    <w:basedOn w:val="Normal"/>
    <w:link w:val="BalloonTextChar"/>
    <w:uiPriority w:val="99"/>
    <w:semiHidden/>
    <w:unhideWhenUsed/>
    <w:rsid w:val="0089722C"/>
    <w:rPr>
      <w:rFonts w:ascii="Tahoma" w:hAnsi="Tahoma" w:cs="Tahoma"/>
      <w:sz w:val="16"/>
      <w:szCs w:val="16"/>
    </w:rPr>
  </w:style>
  <w:style w:type="character" w:customStyle="1" w:styleId="BalloonTextChar">
    <w:name w:val="Balloon Text Char"/>
    <w:basedOn w:val="DefaultParagraphFont"/>
    <w:link w:val="BalloonText"/>
    <w:uiPriority w:val="99"/>
    <w:semiHidden/>
    <w:rsid w:val="0089722C"/>
    <w:rPr>
      <w:rFonts w:ascii="Tahoma" w:eastAsia="Times New Roman" w:hAnsi="Tahoma" w:cs="Tahoma"/>
      <w:sz w:val="16"/>
      <w:szCs w:val="16"/>
    </w:rPr>
  </w:style>
  <w:style w:type="paragraph" w:styleId="Header">
    <w:name w:val="header"/>
    <w:basedOn w:val="Normal"/>
    <w:link w:val="HeaderChar"/>
    <w:uiPriority w:val="99"/>
    <w:unhideWhenUsed/>
    <w:rsid w:val="00B03AD8"/>
    <w:pPr>
      <w:tabs>
        <w:tab w:val="center" w:pos="4513"/>
        <w:tab w:val="right" w:pos="9026"/>
      </w:tabs>
    </w:pPr>
  </w:style>
  <w:style w:type="character" w:customStyle="1" w:styleId="HeaderChar">
    <w:name w:val="Header Char"/>
    <w:basedOn w:val="DefaultParagraphFont"/>
    <w:link w:val="Header"/>
    <w:uiPriority w:val="99"/>
    <w:rsid w:val="00B03AD8"/>
    <w:rPr>
      <w:rFonts w:ascii="Times" w:eastAsia="Times New Roman" w:hAnsi="Times" w:cs="Times New Roman"/>
      <w:sz w:val="24"/>
      <w:szCs w:val="20"/>
    </w:rPr>
  </w:style>
  <w:style w:type="paragraph" w:styleId="Footer">
    <w:name w:val="footer"/>
    <w:basedOn w:val="Normal"/>
    <w:link w:val="FooterChar"/>
    <w:uiPriority w:val="99"/>
    <w:unhideWhenUsed/>
    <w:rsid w:val="00B03AD8"/>
    <w:pPr>
      <w:tabs>
        <w:tab w:val="center" w:pos="4513"/>
        <w:tab w:val="right" w:pos="9026"/>
      </w:tabs>
    </w:pPr>
  </w:style>
  <w:style w:type="character" w:customStyle="1" w:styleId="FooterChar">
    <w:name w:val="Footer Char"/>
    <w:basedOn w:val="DefaultParagraphFont"/>
    <w:link w:val="Footer"/>
    <w:uiPriority w:val="99"/>
    <w:rsid w:val="00B03AD8"/>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_x0020_Date xmlns="e8820f57-6265-425c-815f-2f426a6e5c18">2019-08-30T23:00:00+00:00</Review_x0020_Date>
    <ISO_x0020_Verion xmlns="e8820f57-6265-425c-815f-2f426a6e5c18">1</ISO_x0020_Verion>
    <Owner xmlns="e8820f57-6265-425c-815f-2f426a6e5c18">
      <UserInfo>
        <DisplayName>Sarah Blayden</DisplayName>
        <AccountId>53</AccountId>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989A817214F246A5082033A5D81C18" ma:contentTypeVersion="3" ma:contentTypeDescription="Create a new document." ma:contentTypeScope="" ma:versionID="ad8380e0fb246734ee46d16255ea41f4">
  <xsd:schema xmlns:xsd="http://www.w3.org/2001/XMLSchema" xmlns:xs="http://www.w3.org/2001/XMLSchema" xmlns:p="http://schemas.microsoft.com/office/2006/metadata/properties" xmlns:ns2="e8820f57-6265-425c-815f-2f426a6e5c18" targetNamespace="http://schemas.microsoft.com/office/2006/metadata/properties" ma:root="true" ma:fieldsID="2b4b09c4b9efa932cf3cf51f073493e2" ns2:_="">
    <xsd:import namespace="e8820f57-6265-425c-815f-2f426a6e5c18"/>
    <xsd:element name="properties">
      <xsd:complexType>
        <xsd:sequence>
          <xsd:element name="documentManagement">
            <xsd:complexType>
              <xsd:all>
                <xsd:element ref="ns2:Review_x0020_Date" minOccurs="0"/>
                <xsd:element ref="ns2:Owner" minOccurs="0"/>
                <xsd:element ref="ns2:ISO_x0020_Ver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20f57-6265-425c-815f-2f426a6e5c18" elementFormDefault="qualified">
    <xsd:import namespace="http://schemas.microsoft.com/office/2006/documentManagement/types"/>
    <xsd:import namespace="http://schemas.microsoft.com/office/infopath/2007/PartnerControls"/>
    <xsd:element name="Review_x0020_Date" ma:index="8" nillable="true" ma:displayName="Review Date" ma:format="DateOnly" ma:internalName="Review_x0020_Date">
      <xsd:simpleType>
        <xsd:restriction base="dms:DateTime"/>
      </xsd:simpleType>
    </xsd:element>
    <xsd:element name="Owner" ma:index="9"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O_x0020_Verion" ma:index="10" ma:displayName="ISO Version" ma:description="ISO Version" ma:internalName="ISO_x0020_Verion"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6FDF80-B68A-452B-BC30-4828AE212FE0}">
  <ds:schemaRefs>
    <ds:schemaRef ds:uri="http://schemas.microsoft.com/sharepoint/v3/contenttype/forms"/>
  </ds:schemaRefs>
</ds:datastoreItem>
</file>

<file path=customXml/itemProps2.xml><?xml version="1.0" encoding="utf-8"?>
<ds:datastoreItem xmlns:ds="http://schemas.openxmlformats.org/officeDocument/2006/customXml" ds:itemID="{A71EFA86-8E4E-4B1B-BF9D-8A766BD2E5F8}">
  <ds:schemaRefs>
    <ds:schemaRef ds:uri="http://schemas.microsoft.com/office/2006/metadata/properties"/>
    <ds:schemaRef ds:uri="http://schemas.microsoft.com/office/infopath/2007/PartnerControls"/>
    <ds:schemaRef ds:uri="e8820f57-6265-425c-815f-2f426a6e5c18"/>
  </ds:schemaRefs>
</ds:datastoreItem>
</file>

<file path=customXml/itemProps3.xml><?xml version="1.0" encoding="utf-8"?>
<ds:datastoreItem xmlns:ds="http://schemas.openxmlformats.org/officeDocument/2006/customXml" ds:itemID="{AD8BC190-9FD9-476C-906F-CEAC3FD6B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20f57-6265-425c-815f-2f426a6e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 Kinnin</dc:creator>
  <cp:lastModifiedBy>Ally Kinnin</cp:lastModifiedBy>
  <cp:revision>3</cp:revision>
  <dcterms:created xsi:type="dcterms:W3CDTF">2017-10-31T18:46:00Z</dcterms:created>
  <dcterms:modified xsi:type="dcterms:W3CDTF">2017-10-31T19:36:00Z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0x01010013989A817214F246A5082033A5D81C18</vt:lpwstr>
  </property>
</Properties>
</file>