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C7" w:rsidRDefault="003A4DC7" w:rsidP="003A4DC7">
      <w:pPr>
        <w:rPr>
          <w:b/>
        </w:rPr>
      </w:pPr>
      <w:r w:rsidRPr="00F95288">
        <w:rPr>
          <w:b/>
        </w:rPr>
        <w:t>SCOPE</w:t>
      </w:r>
    </w:p>
    <w:p w:rsidR="003A4DC7" w:rsidRDefault="003A4DC7" w:rsidP="003A4DC7">
      <w:r>
        <w:t xml:space="preserve">This controlled procedure details the process for the Issue and control of passwords including their effectives in allowing the appropriate access to systems without restricting effective working arrangements. </w:t>
      </w:r>
    </w:p>
    <w:p w:rsidR="003A4DC7" w:rsidRDefault="003A4DC7" w:rsidP="003A4DC7">
      <w:pPr>
        <w:rPr>
          <w:b/>
        </w:rPr>
      </w:pPr>
      <w:r w:rsidRPr="00F95288">
        <w:rPr>
          <w:b/>
        </w:rPr>
        <w:t>Responsibility</w:t>
      </w:r>
      <w:r>
        <w:rPr>
          <w:b/>
        </w:rPr>
        <w:t xml:space="preserve"> and Authority</w:t>
      </w:r>
    </w:p>
    <w:p w:rsidR="003A4DC7" w:rsidRPr="005C795C" w:rsidRDefault="003A4DC7" w:rsidP="003A4DC7">
      <w:r w:rsidRPr="000C71AB">
        <w:t>The</w:t>
      </w:r>
      <w:r w:rsidR="004A0AA0">
        <w:t xml:space="preserve"> Group</w:t>
      </w:r>
      <w:r w:rsidRPr="000C71AB">
        <w:t xml:space="preserve"> IT Manager has the responsibility and authority to design, implement and control this procedure as detailed in the scope above.</w:t>
      </w:r>
    </w:p>
    <w:p w:rsidR="003A4DC7" w:rsidRDefault="003A4DC7" w:rsidP="003A4DC7">
      <w:pPr>
        <w:rPr>
          <w:b/>
        </w:rPr>
      </w:pPr>
      <w:r w:rsidRPr="00730526">
        <w:rPr>
          <w:b/>
        </w:rPr>
        <w:t>Control and Distribution</w:t>
      </w:r>
    </w:p>
    <w:p w:rsidR="003A4DC7" w:rsidRDefault="003A4DC7" w:rsidP="003A4DC7">
      <w:r w:rsidRPr="00730526">
        <w:t>Thi</w:t>
      </w:r>
      <w:r>
        <w:t>s procedure is issued as a controlled document and can only be updated by the authorised information management representative and must include a revision status and tractability of the change process.</w:t>
      </w:r>
    </w:p>
    <w:p w:rsidR="003A4DC7" w:rsidRDefault="003A4DC7" w:rsidP="003A4DC7">
      <w:r>
        <w:t>A master is retained as part of the information security management system with uncontrolled copies issued at point of use. The table below sets out the policies implemented including owners and status.</w:t>
      </w:r>
    </w:p>
    <w:p w:rsidR="003A4DC7" w:rsidRDefault="003A4DC7" w:rsidP="003A4DC7">
      <w:pPr>
        <w:rPr>
          <w:b/>
        </w:rPr>
      </w:pPr>
      <w:r w:rsidRPr="00804926">
        <w:rPr>
          <w:b/>
        </w:rPr>
        <w:t>The Process</w:t>
      </w:r>
    </w:p>
    <w:p w:rsidR="003A4DC7" w:rsidRDefault="003A4DC7" w:rsidP="003A4DC7">
      <w:r>
        <w:t xml:space="preserve">This procedure the controls implemented to ensure passwords are robust and </w:t>
      </w:r>
      <w:r w:rsidR="008C302F">
        <w:t>interactive:</w:t>
      </w:r>
    </w:p>
    <w:p w:rsidR="003A4DC7" w:rsidRDefault="003A4DC7" w:rsidP="003A4DC7">
      <w:r>
        <w:t>-Enforce the use of individual user ID’s and passwords to maintain accountability</w:t>
      </w:r>
    </w:p>
    <w:p w:rsidR="003A4DC7" w:rsidRDefault="003A4DC7" w:rsidP="003A4DC7">
      <w:r>
        <w:t>-Allow users to select and change their own passwords and include a confirmation procedure to allow for input errors</w:t>
      </w:r>
    </w:p>
    <w:p w:rsidR="003A4DC7" w:rsidRDefault="003A4DC7" w:rsidP="003A4DC7">
      <w:r>
        <w:t>-Enforce a choice of quality passwords</w:t>
      </w:r>
      <w:r w:rsidR="00153EFB">
        <w:t xml:space="preserve"> (6 characters with complexity)</w:t>
      </w:r>
    </w:p>
    <w:p w:rsidR="003A4DC7" w:rsidRDefault="003A4DC7" w:rsidP="003A4DC7">
      <w:r>
        <w:t>-Force users to change their passwords at the first log-on</w:t>
      </w:r>
      <w:r w:rsidR="00153EFB">
        <w:t xml:space="preserve"> (users will be asked to change passwords on first logon set by IT)</w:t>
      </w:r>
    </w:p>
    <w:p w:rsidR="003A4DC7" w:rsidRDefault="003A4DC7" w:rsidP="003A4DC7">
      <w:r>
        <w:t>-Enforce regular password changes</w:t>
      </w:r>
      <w:r w:rsidR="00153EFB">
        <w:t xml:space="preserve"> (password aging enabled for users every 42 days)</w:t>
      </w:r>
    </w:p>
    <w:p w:rsidR="003A4DC7" w:rsidRDefault="003A4DC7" w:rsidP="003A4DC7">
      <w:r>
        <w:t>-Maintain a record of previously used passwords and prevent re-use</w:t>
      </w:r>
      <w:r w:rsidR="00153EFB">
        <w:t xml:space="preserve"> (password history is enabled under group policy for remembering 3 previous passwords)</w:t>
      </w:r>
    </w:p>
    <w:p w:rsidR="003A4DC7" w:rsidRDefault="003A4DC7" w:rsidP="003A4DC7">
      <w:r>
        <w:t>-Not display passwords on the screen when being entered</w:t>
      </w:r>
    </w:p>
    <w:p w:rsidR="003A4DC7" w:rsidRDefault="003A4DC7" w:rsidP="003A4DC7">
      <w:r>
        <w:t>-Store password files separately from application system data</w:t>
      </w:r>
    </w:p>
    <w:p w:rsidR="003A4DC7" w:rsidRDefault="003A4DC7" w:rsidP="003A4DC7">
      <w:r>
        <w:t>-Store and transmit passwords in protected form</w:t>
      </w:r>
    </w:p>
    <w:p w:rsidR="003A4DC7" w:rsidRDefault="00153EFB" w:rsidP="00C07FA1">
      <w:r>
        <w:t>- Invalid logon attempts are set to 5 with a lockout for 30 minutes and a reset counter of 30 minutes after</w:t>
      </w:r>
    </w:p>
    <w:p w:rsidR="00153EFB" w:rsidRDefault="008C302F" w:rsidP="00C07FA1">
      <w:r>
        <w:t>B</w:t>
      </w:r>
      <w:r w:rsidR="00153EFB">
        <w:t xml:space="preserve">elow is a snapshot of group policy default domain </w:t>
      </w:r>
      <w:r w:rsidR="00C4047F">
        <w:t>policy settings</w:t>
      </w:r>
      <w:r w:rsidR="00153EFB">
        <w:t>:</w:t>
      </w:r>
    </w:p>
    <w:p w:rsidR="00695039" w:rsidRDefault="00153EFB">
      <w:r>
        <w:rPr>
          <w:noProof/>
        </w:rPr>
        <w:drawing>
          <wp:inline distT="0" distB="0" distL="0" distR="0" wp14:anchorId="2ADE89EB" wp14:editId="2ADE89EC">
            <wp:extent cx="7829550" cy="33696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840622" cy="3374413"/>
                    </a:xfrm>
                    <a:prstGeom prst="rect">
                      <a:avLst/>
                    </a:prstGeom>
                  </pic:spPr>
                </pic:pic>
              </a:graphicData>
            </a:graphic>
          </wp:inline>
        </w:drawing>
      </w:r>
    </w:p>
    <w:sectPr w:rsidR="00695039" w:rsidSect="004A0AA0">
      <w:headerReference w:type="default" r:id="rId11"/>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3B7" w:rsidRDefault="00EC53B7" w:rsidP="00C07FA1">
      <w:pPr>
        <w:spacing w:after="0" w:line="240" w:lineRule="auto"/>
      </w:pPr>
      <w:r>
        <w:separator/>
      </w:r>
    </w:p>
  </w:endnote>
  <w:endnote w:type="continuationSeparator" w:id="0">
    <w:p w:rsidR="00EC53B7" w:rsidRDefault="00EC53B7" w:rsidP="00C0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3B7" w:rsidRDefault="00EC53B7" w:rsidP="00C07FA1">
      <w:pPr>
        <w:spacing w:after="0" w:line="240" w:lineRule="auto"/>
      </w:pPr>
      <w:r>
        <w:separator/>
      </w:r>
    </w:p>
  </w:footnote>
  <w:footnote w:type="continuationSeparator" w:id="0">
    <w:p w:rsidR="00EC53B7" w:rsidRDefault="00EC53B7" w:rsidP="00C07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AA0" w:rsidRDefault="004A0AA0" w:rsidP="004A0AA0">
    <w:pPr>
      <w:pStyle w:val="Header"/>
      <w:tabs>
        <w:tab w:val="clear" w:pos="4513"/>
        <w:tab w:val="clear" w:pos="9026"/>
        <w:tab w:val="left" w:pos="3090"/>
      </w:tabs>
    </w:pPr>
    <w:r>
      <w:tab/>
    </w:r>
  </w:p>
  <w:tbl>
    <w:tblPr>
      <w:tblStyle w:val="TableGrid"/>
      <w:tblW w:w="0" w:type="auto"/>
      <w:tblLook w:val="04A0" w:firstRow="1" w:lastRow="0" w:firstColumn="1" w:lastColumn="0" w:noHBand="0" w:noVBand="1"/>
    </w:tblPr>
    <w:tblGrid>
      <w:gridCol w:w="1668"/>
      <w:gridCol w:w="4961"/>
      <w:gridCol w:w="7371"/>
    </w:tblGrid>
    <w:tr w:rsidR="004A0AA0" w:rsidTr="004A0AA0">
      <w:tc>
        <w:tcPr>
          <w:tcW w:w="14000" w:type="dxa"/>
          <w:gridSpan w:val="3"/>
        </w:tcPr>
        <w:p w:rsidR="004A0AA0" w:rsidRPr="009B1480" w:rsidRDefault="004A0AA0" w:rsidP="00CC5BB4">
          <w:pPr>
            <w:pStyle w:val="Header"/>
            <w:jc w:val="center"/>
            <w:rPr>
              <w:b/>
            </w:rPr>
          </w:pPr>
          <w:r w:rsidRPr="00CD3315">
            <w:rPr>
              <w:b/>
              <w:noProof/>
            </w:rPr>
            <w:drawing>
              <wp:inline distT="0" distB="0" distL="0" distR="0" wp14:anchorId="2ADE8A04" wp14:editId="2ADE8A05">
                <wp:extent cx="1871980" cy="931545"/>
                <wp:effectExtent l="0" t="0" r="0" b="0"/>
                <wp:docPr id="8" name="Picture 1" descr="H&amp;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B_Logo"/>
                        <pic:cNvPicPr>
                          <a:picLocks noChangeAspect="1" noChangeArrowheads="1"/>
                        </pic:cNvPicPr>
                      </pic:nvPicPr>
                      <pic:blipFill>
                        <a:blip r:embed="rId1"/>
                        <a:srcRect/>
                        <a:stretch>
                          <a:fillRect/>
                        </a:stretch>
                      </pic:blipFill>
                      <pic:spPr bwMode="auto">
                        <a:xfrm>
                          <a:off x="0" y="0"/>
                          <a:ext cx="1871980" cy="931545"/>
                        </a:xfrm>
                        <a:prstGeom prst="rect">
                          <a:avLst/>
                        </a:prstGeom>
                        <a:noFill/>
                        <a:ln w="9525">
                          <a:noFill/>
                          <a:miter lim="800000"/>
                          <a:headEnd/>
                          <a:tailEnd/>
                        </a:ln>
                      </pic:spPr>
                    </pic:pic>
                  </a:graphicData>
                </a:graphic>
              </wp:inline>
            </w:drawing>
          </w:r>
        </w:p>
      </w:tc>
    </w:tr>
    <w:tr w:rsidR="004A0AA0" w:rsidTr="004A0AA0">
      <w:tc>
        <w:tcPr>
          <w:tcW w:w="14000" w:type="dxa"/>
          <w:gridSpan w:val="3"/>
        </w:tcPr>
        <w:p w:rsidR="004A0AA0" w:rsidRPr="009B1480" w:rsidRDefault="004A0AA0" w:rsidP="00CC5BB4">
          <w:pPr>
            <w:pStyle w:val="Header"/>
            <w:jc w:val="center"/>
            <w:rPr>
              <w:b/>
              <w:sz w:val="28"/>
              <w:szCs w:val="28"/>
            </w:rPr>
          </w:pPr>
          <w:r w:rsidRPr="009B1480">
            <w:rPr>
              <w:b/>
              <w:sz w:val="28"/>
              <w:szCs w:val="28"/>
            </w:rPr>
            <w:t>Information Security Procedure</w:t>
          </w:r>
        </w:p>
        <w:p w:rsidR="004A0AA0" w:rsidRPr="009B1480" w:rsidRDefault="004A0AA0" w:rsidP="00CC5BB4">
          <w:pPr>
            <w:pStyle w:val="Header"/>
            <w:jc w:val="center"/>
            <w:rPr>
              <w:b/>
            </w:rPr>
          </w:pPr>
        </w:p>
      </w:tc>
    </w:tr>
    <w:tr w:rsidR="004A0AA0" w:rsidTr="004A0AA0">
      <w:tc>
        <w:tcPr>
          <w:tcW w:w="14000" w:type="dxa"/>
          <w:gridSpan w:val="3"/>
        </w:tcPr>
        <w:p w:rsidR="004A0AA0" w:rsidRPr="009B1480" w:rsidRDefault="004A0AA0" w:rsidP="00CC5BB4">
          <w:pPr>
            <w:pStyle w:val="Header"/>
            <w:jc w:val="center"/>
            <w:rPr>
              <w:b/>
              <w:sz w:val="24"/>
              <w:szCs w:val="24"/>
            </w:rPr>
          </w:pPr>
          <w:r w:rsidRPr="009B1480">
            <w:rPr>
              <w:b/>
              <w:sz w:val="24"/>
              <w:szCs w:val="24"/>
            </w:rPr>
            <w:t>ISO/IEC 27001:2013</w:t>
          </w:r>
        </w:p>
        <w:p w:rsidR="004A0AA0" w:rsidRPr="009B1480" w:rsidRDefault="004A0AA0" w:rsidP="00CC5BB4">
          <w:pPr>
            <w:pStyle w:val="Header"/>
            <w:jc w:val="center"/>
            <w:rPr>
              <w:b/>
            </w:rPr>
          </w:pPr>
        </w:p>
      </w:tc>
    </w:tr>
    <w:tr w:rsidR="004A0AA0" w:rsidTr="004A0AA0">
      <w:tc>
        <w:tcPr>
          <w:tcW w:w="1668" w:type="dxa"/>
        </w:tcPr>
        <w:p w:rsidR="004A0AA0" w:rsidRPr="009B1480" w:rsidRDefault="004A0AA0" w:rsidP="00CC5BB4">
          <w:pPr>
            <w:pStyle w:val="Header"/>
            <w:rPr>
              <w:b/>
            </w:rPr>
          </w:pPr>
          <w:r>
            <w:rPr>
              <w:b/>
            </w:rPr>
            <w:t>Issue 1</w:t>
          </w:r>
        </w:p>
      </w:tc>
      <w:tc>
        <w:tcPr>
          <w:tcW w:w="4961" w:type="dxa"/>
        </w:tcPr>
        <w:p w:rsidR="004A0AA0" w:rsidRDefault="004A0AA0" w:rsidP="00CC5BB4">
          <w:pPr>
            <w:pStyle w:val="Header"/>
            <w:rPr>
              <w:b/>
            </w:rPr>
          </w:pPr>
          <w:r>
            <w:rPr>
              <w:b/>
            </w:rPr>
            <w:t xml:space="preserve">Annex A </w:t>
          </w:r>
          <w:hyperlink r:id="rId2" w:anchor="a1244" w:history="1">
            <w:r w:rsidRPr="000F0BFC">
              <w:rPr>
                <w:rStyle w:val="Hyperlink"/>
                <w:b/>
              </w:rPr>
              <w:t>A.</w:t>
            </w:r>
            <w:r>
              <w:rPr>
                <w:rStyle w:val="Hyperlink"/>
                <w:b/>
              </w:rPr>
              <w:t>9.4.3</w:t>
            </w:r>
          </w:hyperlink>
          <w:r>
            <w:rPr>
              <w:b/>
            </w:rPr>
            <w:t xml:space="preserve"> </w:t>
          </w:r>
        </w:p>
        <w:p w:rsidR="004A0AA0" w:rsidRPr="009B1480" w:rsidRDefault="004A0AA0" w:rsidP="00CC5BB4">
          <w:pPr>
            <w:pStyle w:val="Header"/>
            <w:rPr>
              <w:b/>
            </w:rPr>
          </w:pPr>
          <w:r>
            <w:rPr>
              <w:b/>
            </w:rPr>
            <w:t>Password Management Policy</w:t>
          </w:r>
        </w:p>
      </w:tc>
      <w:tc>
        <w:tcPr>
          <w:tcW w:w="7371" w:type="dxa"/>
        </w:tcPr>
        <w:p w:rsidR="004A0AA0" w:rsidRPr="009B1480" w:rsidRDefault="004A0AA0" w:rsidP="00CC5BB4">
          <w:pPr>
            <w:pStyle w:val="Header"/>
            <w:rPr>
              <w:b/>
            </w:rPr>
          </w:pPr>
          <w:r w:rsidRPr="009B1480">
            <w:rPr>
              <w:b/>
            </w:rPr>
            <w:t>Authorised by:-</w:t>
          </w:r>
          <w:r>
            <w:rPr>
              <w:b/>
            </w:rPr>
            <w:t xml:space="preserve"> S Downe</w:t>
          </w:r>
        </w:p>
      </w:tc>
    </w:tr>
    <w:tr w:rsidR="004A0AA0" w:rsidTr="004A0AA0">
      <w:tc>
        <w:tcPr>
          <w:tcW w:w="1668" w:type="dxa"/>
        </w:tcPr>
        <w:sdt>
          <w:sdtPr>
            <w:rPr>
              <w:b/>
            </w:rPr>
            <w:id w:val="250395305"/>
            <w:docPartObj>
              <w:docPartGallery w:val="Page Numbers (Top of Page)"/>
              <w:docPartUnique/>
            </w:docPartObj>
          </w:sdtPr>
          <w:sdtEndPr/>
          <w:sdtContent>
            <w:p w:rsidR="004A0AA0" w:rsidRPr="009B1480" w:rsidRDefault="004A0AA0" w:rsidP="00CC5BB4">
              <w:pPr>
                <w:rPr>
                  <w:b/>
                </w:rPr>
              </w:pPr>
              <w:r w:rsidRPr="009B1480">
                <w:rPr>
                  <w:b/>
                </w:rPr>
                <w:t xml:space="preserve">Page </w:t>
              </w:r>
              <w:r w:rsidRPr="009B1480">
                <w:rPr>
                  <w:b/>
                </w:rPr>
                <w:fldChar w:fldCharType="begin"/>
              </w:r>
              <w:r w:rsidRPr="009B1480">
                <w:rPr>
                  <w:b/>
                </w:rPr>
                <w:instrText xml:space="preserve"> PAGE </w:instrText>
              </w:r>
              <w:r w:rsidRPr="009B1480">
                <w:rPr>
                  <w:b/>
                </w:rPr>
                <w:fldChar w:fldCharType="separate"/>
              </w:r>
              <w:r w:rsidR="00CE3EA9">
                <w:rPr>
                  <w:b/>
                  <w:noProof/>
                </w:rPr>
                <w:t>1</w:t>
              </w:r>
              <w:r w:rsidRPr="009B1480">
                <w:rPr>
                  <w:b/>
                </w:rPr>
                <w:fldChar w:fldCharType="end"/>
              </w:r>
              <w:r w:rsidRPr="009B1480">
                <w:rPr>
                  <w:b/>
                </w:rPr>
                <w:t xml:space="preserve"> of </w:t>
              </w:r>
              <w:r w:rsidRPr="009B1480">
                <w:rPr>
                  <w:b/>
                </w:rPr>
                <w:fldChar w:fldCharType="begin"/>
              </w:r>
              <w:r w:rsidRPr="009B1480">
                <w:rPr>
                  <w:b/>
                </w:rPr>
                <w:instrText xml:space="preserve"> NUMPAGES  </w:instrText>
              </w:r>
              <w:r w:rsidRPr="009B1480">
                <w:rPr>
                  <w:b/>
                </w:rPr>
                <w:fldChar w:fldCharType="separate"/>
              </w:r>
              <w:r w:rsidR="00CE3EA9">
                <w:rPr>
                  <w:b/>
                  <w:noProof/>
                </w:rPr>
                <w:t>1</w:t>
              </w:r>
              <w:r w:rsidRPr="009B1480">
                <w:rPr>
                  <w:b/>
                </w:rPr>
                <w:fldChar w:fldCharType="end"/>
              </w:r>
            </w:p>
          </w:sdtContent>
        </w:sdt>
      </w:tc>
      <w:tc>
        <w:tcPr>
          <w:tcW w:w="4961" w:type="dxa"/>
        </w:tcPr>
        <w:p w:rsidR="004A0AA0" w:rsidRPr="009B1480" w:rsidRDefault="004A0AA0" w:rsidP="00CC5BB4">
          <w:pPr>
            <w:pStyle w:val="Header"/>
            <w:rPr>
              <w:b/>
            </w:rPr>
          </w:pPr>
          <w:r>
            <w:rPr>
              <w:b/>
            </w:rPr>
            <w:t>Effective Date   1</w:t>
          </w:r>
          <w:r w:rsidRPr="004571B0">
            <w:rPr>
              <w:b/>
              <w:vertAlign w:val="superscript"/>
            </w:rPr>
            <w:t>st</w:t>
          </w:r>
          <w:r>
            <w:rPr>
              <w:b/>
            </w:rPr>
            <w:t xml:space="preserve"> August 2017</w:t>
          </w:r>
        </w:p>
      </w:tc>
      <w:tc>
        <w:tcPr>
          <w:tcW w:w="7371" w:type="dxa"/>
        </w:tcPr>
        <w:p w:rsidR="004A0AA0" w:rsidRPr="009B1480" w:rsidRDefault="004A0AA0" w:rsidP="00CC5BB4">
          <w:pPr>
            <w:pStyle w:val="Header"/>
            <w:rPr>
              <w:b/>
            </w:rPr>
          </w:pPr>
          <w:r w:rsidRPr="009B1480">
            <w:rPr>
              <w:b/>
            </w:rPr>
            <w:t xml:space="preserve">Classification </w:t>
          </w:r>
          <w:r>
            <w:rPr>
              <w:b/>
            </w:rPr>
            <w:t>Internal</w:t>
          </w:r>
        </w:p>
      </w:tc>
    </w:tr>
  </w:tbl>
  <w:p w:rsidR="004A0AA0" w:rsidRDefault="004A0AA0" w:rsidP="004A0AA0">
    <w:pPr>
      <w:pStyle w:val="Header"/>
      <w:tabs>
        <w:tab w:val="clear" w:pos="4513"/>
        <w:tab w:val="clear" w:pos="9026"/>
        <w:tab w:val="left" w:pos="30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07FA1"/>
    <w:rsid w:val="000C71AB"/>
    <w:rsid w:val="00153EFB"/>
    <w:rsid w:val="003A4DC7"/>
    <w:rsid w:val="004A0AA0"/>
    <w:rsid w:val="0063549D"/>
    <w:rsid w:val="00695039"/>
    <w:rsid w:val="007A6A83"/>
    <w:rsid w:val="00822BE3"/>
    <w:rsid w:val="008839D1"/>
    <w:rsid w:val="008C302F"/>
    <w:rsid w:val="00952A5F"/>
    <w:rsid w:val="00AC78AD"/>
    <w:rsid w:val="00B07AD9"/>
    <w:rsid w:val="00B86058"/>
    <w:rsid w:val="00C07FA1"/>
    <w:rsid w:val="00C4047F"/>
    <w:rsid w:val="00C66777"/>
    <w:rsid w:val="00C94A92"/>
    <w:rsid w:val="00CE3EA9"/>
    <w:rsid w:val="00DA47EB"/>
    <w:rsid w:val="00DB7499"/>
    <w:rsid w:val="00EC53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E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FA1"/>
  </w:style>
  <w:style w:type="paragraph" w:styleId="Footer">
    <w:name w:val="footer"/>
    <w:basedOn w:val="Normal"/>
    <w:link w:val="FooterChar"/>
    <w:uiPriority w:val="99"/>
    <w:unhideWhenUsed/>
    <w:rsid w:val="00C07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FA1"/>
  </w:style>
  <w:style w:type="character" w:styleId="Hyperlink">
    <w:name w:val="Hyperlink"/>
    <w:basedOn w:val="DefaultParagraphFont"/>
    <w:uiPriority w:val="99"/>
    <w:unhideWhenUsed/>
    <w:rsid w:val="00C07FA1"/>
    <w:rPr>
      <w:color w:val="0000FF" w:themeColor="hyperlink"/>
      <w:u w:val="single"/>
    </w:rPr>
  </w:style>
  <w:style w:type="character" w:styleId="FollowedHyperlink">
    <w:name w:val="FollowedHyperlink"/>
    <w:basedOn w:val="DefaultParagraphFont"/>
    <w:uiPriority w:val="99"/>
    <w:semiHidden/>
    <w:unhideWhenUsed/>
    <w:rsid w:val="00153EFB"/>
    <w:rPr>
      <w:color w:val="800080" w:themeColor="followedHyperlink"/>
      <w:u w:val="single"/>
    </w:rPr>
  </w:style>
  <w:style w:type="paragraph" w:styleId="BalloonText">
    <w:name w:val="Balloon Text"/>
    <w:basedOn w:val="Normal"/>
    <w:link w:val="BalloonTextChar"/>
    <w:uiPriority w:val="99"/>
    <w:semiHidden/>
    <w:unhideWhenUsed/>
    <w:rsid w:val="00153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EFB"/>
    <w:rPr>
      <w:rFonts w:ascii="Tahoma" w:hAnsi="Tahoma" w:cs="Tahoma"/>
      <w:sz w:val="16"/>
      <w:szCs w:val="16"/>
    </w:rPr>
  </w:style>
  <w:style w:type="table" w:styleId="TableGrid">
    <w:name w:val="Table Grid"/>
    <w:basedOn w:val="TableNormal"/>
    <w:uiPriority w:val="59"/>
    <w:rsid w:val="004A0A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ISO%2027001/Annex%20A%20Requirements%20-%20latest%20version.doc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2019-03-31T00:00:00+00:00</Review_x0020_Date>
    <ISO_x0020_Verion xmlns="e8820f57-6265-425c-815f-2f426a6e5c18">1</ISO_x0020_Verion>
    <Owner xmlns="e8820f57-6265-425c-815f-2f426a6e5c18">
      <UserInfo>
        <DisplayName>Steven Downe</DisplayName>
        <AccountId>8</AccountId>
        <AccountType/>
      </UserInfo>
    </Owner>
  </documentManagement>
</p:properties>
</file>

<file path=customXml/itemProps1.xml><?xml version="1.0" encoding="utf-8"?>
<ds:datastoreItem xmlns:ds="http://schemas.openxmlformats.org/officeDocument/2006/customXml" ds:itemID="{BD11884B-D2F0-4E14-8B6A-07AC3C621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30EF2-BC81-4DD8-9CFE-8365FA389904}">
  <ds:schemaRefs>
    <ds:schemaRef ds:uri="http://schemas.microsoft.com/sharepoint/v3/contenttype/forms"/>
  </ds:schemaRefs>
</ds:datastoreItem>
</file>

<file path=customXml/itemProps3.xml><?xml version="1.0" encoding="utf-8"?>
<ds:datastoreItem xmlns:ds="http://schemas.openxmlformats.org/officeDocument/2006/customXml" ds:itemID="{F65CC74D-8360-4FED-9B39-5442BF72D9C0}">
  <ds:schemaRefs>
    <ds:schemaRef ds:uri="http://schemas.microsoft.com/office/2006/metadata/properties"/>
    <ds:schemaRef ds:uri="http://schemas.microsoft.com/office/infopath/2007/PartnerControls"/>
    <ds:schemaRef ds:uri="e8820f57-6265-425c-815f-2f426a6e5c18"/>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Steven Downe</cp:lastModifiedBy>
  <cp:revision>17</cp:revision>
  <dcterms:created xsi:type="dcterms:W3CDTF">2015-01-13T13:08:00Z</dcterms:created>
  <dcterms:modified xsi:type="dcterms:W3CDTF">2021-04-27T12:32:00Z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