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640" w:type="dxa"/>
        <w:tblInd w:w="-176" w:type="dxa"/>
        <w:tblLook w:val="04A0" w:firstRow="1" w:lastRow="0" w:firstColumn="1" w:lastColumn="0" w:noHBand="0" w:noVBand="1"/>
      </w:tblPr>
      <w:tblGrid>
        <w:gridCol w:w="9640"/>
      </w:tblGrid>
      <w:tr w:rsidR="006E0C65" w14:paraId="30FB7A70" w14:textId="77777777" w:rsidTr="006E0C65">
        <w:tc>
          <w:tcPr>
            <w:tcW w:w="9640" w:type="dxa"/>
          </w:tcPr>
          <w:p w14:paraId="0E38B81A" w14:textId="4F1BC29E" w:rsidR="006E0C65" w:rsidRDefault="006E0C65" w:rsidP="00D137B6">
            <w:pPr>
              <w:tabs>
                <w:tab w:val="center" w:pos="4513"/>
                <w:tab w:val="left" w:pos="5626"/>
              </w:tabs>
              <w:rPr>
                <w:b/>
              </w:rPr>
            </w:pPr>
            <w:r>
              <w:rPr>
                <w:b/>
              </w:rPr>
              <w:t>AUDIT REPORT NUMBER:</w:t>
            </w:r>
            <w:r w:rsidR="0028684E">
              <w:rPr>
                <w:b/>
              </w:rPr>
              <w:t xml:space="preserve"> </w:t>
            </w:r>
            <w:r w:rsidR="00562E66">
              <w:rPr>
                <w:b/>
              </w:rPr>
              <w:t xml:space="preserve">    </w:t>
            </w:r>
            <w:r w:rsidR="0013779C">
              <w:rPr>
                <w:b/>
              </w:rPr>
              <w:t>0</w:t>
            </w:r>
            <w:r w:rsidR="00014C21">
              <w:rPr>
                <w:b/>
              </w:rPr>
              <w:t>6</w:t>
            </w:r>
            <w:r w:rsidR="0013779C">
              <w:rPr>
                <w:b/>
              </w:rPr>
              <w:t xml:space="preserve"> – 09 – 18 - 3</w:t>
            </w:r>
            <w:r w:rsidR="00CC596F">
              <w:rPr>
                <w:b/>
              </w:rPr>
              <w:t>5</w:t>
            </w:r>
          </w:p>
        </w:tc>
      </w:tr>
    </w:tbl>
    <w:p w14:paraId="3A94EEFC" w14:textId="77777777" w:rsidR="00933D4B" w:rsidRDefault="00933D4B"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14:paraId="784E9843" w14:textId="77777777" w:rsidTr="006E0C65">
        <w:tc>
          <w:tcPr>
            <w:tcW w:w="4797" w:type="dxa"/>
          </w:tcPr>
          <w:p w14:paraId="7EA0FA48" w14:textId="756CB45F" w:rsidR="00562E66" w:rsidRDefault="00562E66" w:rsidP="00562E66">
            <w:pPr>
              <w:tabs>
                <w:tab w:val="center" w:pos="4513"/>
                <w:tab w:val="left" w:pos="5626"/>
              </w:tabs>
              <w:rPr>
                <w:b/>
              </w:rPr>
            </w:pPr>
            <w:r>
              <w:rPr>
                <w:b/>
              </w:rPr>
              <w:t xml:space="preserve">Auditor(s) </w:t>
            </w:r>
            <w:r w:rsidR="0013779C" w:rsidRPr="0013779C">
              <w:t>K</w:t>
            </w:r>
            <w:r w:rsidRPr="0013779C">
              <w:t xml:space="preserve"> </w:t>
            </w:r>
            <w:r w:rsidRPr="00123B36">
              <w:t>Burnell, ISO QA Limited</w:t>
            </w:r>
          </w:p>
          <w:p w14:paraId="00AE99F7" w14:textId="59258D14" w:rsidR="006E0C65" w:rsidRDefault="00562E66" w:rsidP="00562E66">
            <w:pPr>
              <w:tabs>
                <w:tab w:val="center" w:pos="4513"/>
                <w:tab w:val="left" w:pos="5626"/>
              </w:tabs>
              <w:rPr>
                <w:b/>
              </w:rPr>
            </w:pPr>
            <w:r>
              <w:rPr>
                <w:b/>
              </w:rPr>
              <w:t xml:space="preserve">Auditee(s) </w:t>
            </w:r>
            <w:r w:rsidR="00CC596F" w:rsidRPr="00231A42">
              <w:t>Ian J</w:t>
            </w:r>
            <w:r w:rsidR="00014C21" w:rsidRPr="00231A42">
              <w:t xml:space="preserve"> (</w:t>
            </w:r>
            <w:r w:rsidR="00CC596F" w:rsidRPr="00231A42">
              <w:t>IJ</w:t>
            </w:r>
            <w:r w:rsidR="00014C21" w:rsidRPr="00231A42">
              <w:t>)</w:t>
            </w:r>
          </w:p>
        </w:tc>
        <w:tc>
          <w:tcPr>
            <w:tcW w:w="4843" w:type="dxa"/>
          </w:tcPr>
          <w:p w14:paraId="45554B4F" w14:textId="5F226A07" w:rsidR="00562E66" w:rsidRDefault="00562E66" w:rsidP="00562E66">
            <w:pPr>
              <w:tabs>
                <w:tab w:val="center" w:pos="4513"/>
                <w:tab w:val="left" w:pos="5626"/>
              </w:tabs>
              <w:rPr>
                <w:b/>
              </w:rPr>
            </w:pPr>
            <w:r>
              <w:rPr>
                <w:b/>
              </w:rPr>
              <w:t xml:space="preserve">Audit Date </w:t>
            </w:r>
            <w:r w:rsidR="00014C21">
              <w:rPr>
                <w:b/>
              </w:rPr>
              <w:t>6</w:t>
            </w:r>
            <w:r w:rsidR="0013779C" w:rsidRPr="0013779C">
              <w:rPr>
                <w:vertAlign w:val="superscript"/>
              </w:rPr>
              <w:t>th</w:t>
            </w:r>
            <w:r w:rsidR="0013779C">
              <w:t xml:space="preserve"> </w:t>
            </w:r>
            <w:r w:rsidR="000E55A6">
              <w:t xml:space="preserve">September </w:t>
            </w:r>
            <w:r w:rsidR="0013779C">
              <w:t>2018</w:t>
            </w:r>
          </w:p>
          <w:p w14:paraId="7436E07A" w14:textId="05095120" w:rsidR="006E0C65" w:rsidRDefault="00562E66" w:rsidP="00562E66">
            <w:pPr>
              <w:tabs>
                <w:tab w:val="center" w:pos="4513"/>
                <w:tab w:val="left" w:pos="5626"/>
              </w:tabs>
              <w:rPr>
                <w:b/>
              </w:rPr>
            </w:pPr>
            <w:r>
              <w:rPr>
                <w:b/>
              </w:rPr>
              <w:t xml:space="preserve">Audit Times </w:t>
            </w:r>
            <w:r w:rsidR="00CC596F">
              <w:t>13.40 – 15.00</w:t>
            </w:r>
          </w:p>
        </w:tc>
      </w:tr>
    </w:tbl>
    <w:p w14:paraId="7A342A90"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4797"/>
        <w:gridCol w:w="4843"/>
      </w:tblGrid>
      <w:tr w:rsidR="006E0C65" w14:paraId="332A1332" w14:textId="77777777" w:rsidTr="006E0C65">
        <w:tc>
          <w:tcPr>
            <w:tcW w:w="4797" w:type="dxa"/>
          </w:tcPr>
          <w:p w14:paraId="3E51C9A1" w14:textId="77777777" w:rsidR="006E0C65" w:rsidRDefault="006E0C65" w:rsidP="00D137B6">
            <w:pPr>
              <w:tabs>
                <w:tab w:val="center" w:pos="4513"/>
                <w:tab w:val="left" w:pos="5626"/>
              </w:tabs>
              <w:rPr>
                <w:b/>
              </w:rPr>
            </w:pPr>
            <w:r>
              <w:rPr>
                <w:b/>
              </w:rPr>
              <w:t>Distribution</w:t>
            </w:r>
            <w:r w:rsidR="001C3DD9">
              <w:rPr>
                <w:b/>
              </w:rPr>
              <w:t xml:space="preserve"> </w:t>
            </w:r>
          </w:p>
        </w:tc>
        <w:tc>
          <w:tcPr>
            <w:tcW w:w="4843" w:type="dxa"/>
          </w:tcPr>
          <w:p w14:paraId="62B0EDF1" w14:textId="77777777" w:rsidR="00F244C9" w:rsidRDefault="00F244C9" w:rsidP="00F244C9">
            <w:pPr>
              <w:tabs>
                <w:tab w:val="center" w:pos="4513"/>
                <w:tab w:val="left" w:pos="5626"/>
              </w:tabs>
              <w:rPr>
                <w:b/>
              </w:rPr>
            </w:pPr>
            <w:r>
              <w:rPr>
                <w:b/>
              </w:rPr>
              <w:t>A Pickett</w:t>
            </w:r>
          </w:p>
          <w:p w14:paraId="38A52931" w14:textId="77777777" w:rsidR="008F5786" w:rsidRDefault="00F244C9" w:rsidP="00D35723">
            <w:pPr>
              <w:tabs>
                <w:tab w:val="center" w:pos="4513"/>
                <w:tab w:val="left" w:pos="5626"/>
              </w:tabs>
              <w:rPr>
                <w:b/>
              </w:rPr>
            </w:pPr>
            <w:r>
              <w:rPr>
                <w:b/>
              </w:rPr>
              <w:t>A Kinnin</w:t>
            </w:r>
          </w:p>
        </w:tc>
      </w:tr>
    </w:tbl>
    <w:p w14:paraId="702F2932" w14:textId="77777777" w:rsidR="006E0C65" w:rsidRDefault="006E0C65" w:rsidP="00D35723">
      <w:pPr>
        <w:tabs>
          <w:tab w:val="center" w:pos="4513"/>
          <w:tab w:val="left" w:pos="5626"/>
        </w:tabs>
        <w:spacing w:after="0"/>
        <w:rPr>
          <w:b/>
        </w:rPr>
      </w:pPr>
    </w:p>
    <w:p w14:paraId="5C4C60AB" w14:textId="77777777" w:rsidR="00A904D8" w:rsidRDefault="00A904D8" w:rsidP="00A904D8">
      <w:pPr>
        <w:spacing w:after="0"/>
        <w:rPr>
          <w:b/>
        </w:rPr>
      </w:pPr>
      <w:r>
        <w:rPr>
          <w:b/>
        </w:rPr>
        <w:t>Audit Criteria:</w:t>
      </w:r>
    </w:p>
    <w:p w14:paraId="7925638C" w14:textId="77777777" w:rsidR="00A904D8" w:rsidRPr="00B11078" w:rsidRDefault="00A904D8" w:rsidP="00A904D8">
      <w:pPr>
        <w:spacing w:after="0"/>
      </w:pPr>
      <w:r w:rsidRPr="00214EA8">
        <w:rPr>
          <w:highlight w:val="green"/>
        </w:rPr>
        <w:t>Passed: - The processes and procedures are conforming to requirements</w:t>
      </w:r>
    </w:p>
    <w:p w14:paraId="2A68F37D" w14:textId="77777777" w:rsidR="00A904D8" w:rsidRPr="00B11078" w:rsidRDefault="00A904D8" w:rsidP="00A904D8">
      <w:pPr>
        <w:spacing w:after="0"/>
      </w:pPr>
      <w:r w:rsidRPr="00214EA8">
        <w:rPr>
          <w:highlight w:val="yellow"/>
        </w:rPr>
        <w:t>OFI: - The processes and procedures are conforming to requirements but improvements could be made.</w:t>
      </w:r>
    </w:p>
    <w:p w14:paraId="1751BF2E" w14:textId="77777777" w:rsidR="00A904D8" w:rsidRPr="00B11078" w:rsidRDefault="00A904D8" w:rsidP="00A904D8">
      <w:pPr>
        <w:spacing w:after="0"/>
      </w:pPr>
      <w:r w:rsidRPr="003417A7">
        <w:rPr>
          <w:highlight w:val="cyan"/>
        </w:rPr>
        <w:t>Minor Non Conformance: - The processes and procedures do not fulfil a requirement but is unlikely to result in ISMS failure.</w:t>
      </w:r>
    </w:p>
    <w:p w14:paraId="3620071A" w14:textId="77777777" w:rsidR="00A904D8" w:rsidRPr="001608C0" w:rsidRDefault="00A904D8" w:rsidP="00A904D8">
      <w:pPr>
        <w:spacing w:after="0"/>
      </w:pPr>
      <w:r w:rsidRPr="00214EA8">
        <w:rPr>
          <w:highlight w:val="red"/>
        </w:rPr>
        <w:t>Major Non Conformance: - The processes and procedures do not fulfil a requirement and is likely to result in ISMS failure.</w:t>
      </w:r>
    </w:p>
    <w:p w14:paraId="05BD3D8D" w14:textId="77777777" w:rsidR="00A904D8" w:rsidRDefault="00A904D8" w:rsidP="00A904D8">
      <w:pPr>
        <w:tabs>
          <w:tab w:val="center" w:pos="4513"/>
          <w:tab w:val="left" w:pos="5626"/>
        </w:tabs>
        <w:spacing w:after="0"/>
        <w:rPr>
          <w:b/>
        </w:rPr>
      </w:pPr>
    </w:p>
    <w:p w14:paraId="47EEFA2D" w14:textId="77777777" w:rsidR="00A904D8" w:rsidRDefault="00A904D8" w:rsidP="00A904D8">
      <w:pPr>
        <w:spacing w:after="0"/>
        <w:rPr>
          <w:b/>
        </w:rPr>
      </w:pPr>
      <w:r>
        <w:rPr>
          <w:b/>
        </w:rPr>
        <w:t>Frequency of audit:</w:t>
      </w:r>
    </w:p>
    <w:p w14:paraId="360073C7" w14:textId="77777777" w:rsidR="00A904D8" w:rsidRDefault="00A904D8" w:rsidP="00A904D8">
      <w:pPr>
        <w:spacing w:after="0"/>
      </w:pPr>
      <w:r w:rsidRPr="001608C0">
        <w:t>Audits are carried out at planned intervals as detailed in the audit plan and shall reflect previous audit results and the importance of processes.</w:t>
      </w:r>
    </w:p>
    <w:p w14:paraId="4A66748E" w14:textId="77777777" w:rsidR="00A904D8" w:rsidRDefault="00A904D8" w:rsidP="00A904D8">
      <w:pPr>
        <w:tabs>
          <w:tab w:val="center" w:pos="4513"/>
          <w:tab w:val="left" w:pos="5626"/>
        </w:tabs>
        <w:spacing w:after="0"/>
        <w:rPr>
          <w:b/>
        </w:rPr>
      </w:pPr>
    </w:p>
    <w:p w14:paraId="57924E91" w14:textId="77777777" w:rsidR="00A904D8" w:rsidRPr="001608C0" w:rsidRDefault="00A904D8" w:rsidP="00A904D8">
      <w:pPr>
        <w:spacing w:after="0"/>
      </w:pPr>
      <w:r w:rsidRPr="006E32E4">
        <w:rPr>
          <w:b/>
        </w:rPr>
        <w:t>Audit methods:</w:t>
      </w:r>
    </w:p>
    <w:p w14:paraId="22DCE87E" w14:textId="77777777" w:rsidR="00A904D8" w:rsidRPr="001608C0" w:rsidRDefault="00A904D8" w:rsidP="00A904D8">
      <w:pPr>
        <w:spacing w:after="0"/>
      </w:pPr>
      <w:r w:rsidRPr="001608C0">
        <w:t xml:space="preserve">The audit process is carried out to ensure that planned arrangements and the ISO standard are conforming. They are conducted by independent trained auditors who carry out </w:t>
      </w:r>
      <w:r>
        <w:t>the</w:t>
      </w:r>
      <w:r w:rsidRPr="001608C0">
        <w:t xml:space="preserve"> function in an objective and impartial manner. The frequency of audits is detailed above. They are conducted either at the point of use of a procedure, within a process or department or as a desk audit as appropriate.</w:t>
      </w:r>
    </w:p>
    <w:p w14:paraId="0FCFFF1F" w14:textId="77777777" w:rsidR="00A904D8" w:rsidRPr="001608C0" w:rsidRDefault="00A904D8" w:rsidP="00A904D8">
      <w:pPr>
        <w:spacing w:after="0"/>
      </w:pPr>
      <w:r w:rsidRPr="001608C0">
        <w:t>During the audit process the auditor interacts with the auditee in order to obtain objective evidence which can be in the form of documents, statements (verbal or written), records and visual media. This evidence is recorded as detailed below and includes a summary and a final result based on the above audit criteria.</w:t>
      </w:r>
    </w:p>
    <w:p w14:paraId="397AF778" w14:textId="77777777" w:rsidR="00A904D8" w:rsidRPr="001608C0" w:rsidRDefault="00A904D8" w:rsidP="00A904D8">
      <w:pPr>
        <w:spacing w:after="0"/>
      </w:pPr>
      <w:r w:rsidRPr="001608C0">
        <w:t>This report is signed by both the auditor and the auditee to confirm that the audit has been conducted following the above process which includes agreement regarding the selected resulting criteria.</w:t>
      </w:r>
    </w:p>
    <w:p w14:paraId="3D747AB4" w14:textId="77777777" w:rsidR="006E0C65" w:rsidRDefault="006E0C65" w:rsidP="00D35723">
      <w:pPr>
        <w:tabs>
          <w:tab w:val="center" w:pos="4513"/>
          <w:tab w:val="left" w:pos="5626"/>
        </w:tabs>
        <w:spacing w:after="0"/>
        <w:rPr>
          <w:b/>
        </w:rPr>
      </w:pPr>
    </w:p>
    <w:p w14:paraId="38942980" w14:textId="77777777" w:rsidR="006E0C65" w:rsidRDefault="006E0C65" w:rsidP="006E0C65">
      <w:pPr>
        <w:spacing w:after="0"/>
        <w:rPr>
          <w:b/>
        </w:rPr>
      </w:pPr>
    </w:p>
    <w:p w14:paraId="2708F2BC" w14:textId="77777777" w:rsidR="006E0C65" w:rsidRDefault="006E0C65" w:rsidP="006E0C65">
      <w:pPr>
        <w:spacing w:after="0"/>
        <w:rPr>
          <w:b/>
        </w:rPr>
      </w:pPr>
      <w:r>
        <w:rPr>
          <w:b/>
        </w:rPr>
        <w:t>Introduction</w:t>
      </w:r>
    </w:p>
    <w:p w14:paraId="42C86F84" w14:textId="77777777" w:rsidR="0013779C" w:rsidRDefault="00F244C9" w:rsidP="00F244C9">
      <w:pPr>
        <w:spacing w:after="0"/>
      </w:pPr>
      <w:r w:rsidRPr="00FB3B23">
        <w:t>This audit was commissioned by</w:t>
      </w:r>
      <w:r>
        <w:t xml:space="preserve"> Trade Distribution Limited</w:t>
      </w:r>
      <w:r w:rsidRPr="00FB3B23">
        <w:t xml:space="preserve"> </w:t>
      </w:r>
      <w:r>
        <w:t xml:space="preserve">to ensure that their information security </w:t>
      </w:r>
      <w:r w:rsidRPr="00FB3B23">
        <w:t>system</w:t>
      </w:r>
      <w:r>
        <w:t xml:space="preserve"> and environmental system </w:t>
      </w:r>
      <w:r w:rsidRPr="00FB3B23">
        <w:t xml:space="preserve">is conforming to the requirements of </w:t>
      </w:r>
      <w:r>
        <w:t>ISO 27001:2013</w:t>
      </w:r>
      <w:r w:rsidR="0013779C">
        <w:t>,</w:t>
      </w:r>
      <w:r>
        <w:t xml:space="preserve"> </w:t>
      </w:r>
      <w:r w:rsidRPr="00FB3B23">
        <w:t xml:space="preserve">ISO </w:t>
      </w:r>
      <w:r>
        <w:t>14001:2015</w:t>
      </w:r>
      <w:r w:rsidR="0013779C">
        <w:t xml:space="preserve"> and ISO 9001:2015.</w:t>
      </w:r>
    </w:p>
    <w:p w14:paraId="1D54EAF8" w14:textId="1E6AFC36" w:rsidR="00F244C9" w:rsidRPr="00FB3B23" w:rsidRDefault="00F244C9" w:rsidP="00F244C9">
      <w:pPr>
        <w:spacing w:after="0"/>
      </w:pPr>
      <w:r w:rsidRPr="00FB3B23">
        <w:t>This will ensure that any non-conformances (major or minor) are dealt with accordingly and preventive actions are put in place. The organisation also requires feedback on opportunities for improvement.</w:t>
      </w:r>
    </w:p>
    <w:p w14:paraId="5DC6E94F" w14:textId="77777777" w:rsidR="006E0C65" w:rsidRPr="00FB3B23" w:rsidRDefault="006E0C65" w:rsidP="006E0C65">
      <w:pPr>
        <w:spacing w:after="0"/>
      </w:pPr>
    </w:p>
    <w:p w14:paraId="6EE73D28" w14:textId="77777777" w:rsidR="00E03D51" w:rsidRDefault="006E0C65" w:rsidP="006E0C65">
      <w:pPr>
        <w:spacing w:after="0"/>
        <w:rPr>
          <w:b/>
        </w:rPr>
      </w:pPr>
      <w:r w:rsidRPr="00FB3B23">
        <w:rPr>
          <w:b/>
        </w:rPr>
        <w:t>Scope</w:t>
      </w:r>
    </w:p>
    <w:p w14:paraId="3CD4C2B0" w14:textId="77777777" w:rsidR="00CC596F" w:rsidRPr="00CC596F" w:rsidRDefault="00CC596F" w:rsidP="00CC596F">
      <w:pPr>
        <w:spacing w:after="0"/>
        <w:rPr>
          <w:b/>
        </w:rPr>
      </w:pPr>
      <w:r w:rsidRPr="00CC596F">
        <w:rPr>
          <w:b/>
        </w:rPr>
        <w:t>Customer Services/Administration</w:t>
      </w:r>
    </w:p>
    <w:p w14:paraId="493DBBDE" w14:textId="77777777" w:rsidR="00CC596F" w:rsidRPr="00CC596F" w:rsidRDefault="00CC596F" w:rsidP="00CC596F">
      <w:pPr>
        <w:spacing w:after="0"/>
        <w:rPr>
          <w:b/>
        </w:rPr>
      </w:pPr>
      <w:r w:rsidRPr="00CC596F">
        <w:rPr>
          <w:b/>
        </w:rPr>
        <w:t>Performance &amp; Evaluation 9.1.2 Customer Satisfaction</w:t>
      </w:r>
    </w:p>
    <w:p w14:paraId="605D1CFF" w14:textId="77777777" w:rsidR="00CC596F" w:rsidRPr="00CC596F" w:rsidRDefault="00CC596F" w:rsidP="00CC596F">
      <w:pPr>
        <w:spacing w:after="0"/>
        <w:rPr>
          <w:b/>
        </w:rPr>
      </w:pPr>
      <w:r w:rsidRPr="00CC596F">
        <w:rPr>
          <w:b/>
        </w:rPr>
        <w:t>Access Control</w:t>
      </w:r>
    </w:p>
    <w:p w14:paraId="4B15EEBD" w14:textId="5E0C0C62" w:rsidR="00014C21" w:rsidRDefault="00CC596F" w:rsidP="00CC596F">
      <w:pPr>
        <w:spacing w:after="0"/>
        <w:rPr>
          <w:b/>
        </w:rPr>
      </w:pPr>
      <w:r w:rsidRPr="00CC596F">
        <w:rPr>
          <w:b/>
        </w:rPr>
        <w:t>EMS Controls</w:t>
      </w:r>
    </w:p>
    <w:p w14:paraId="0F440104" w14:textId="77777777" w:rsidR="00CC596F" w:rsidRDefault="00CC596F" w:rsidP="00CC596F">
      <w:pPr>
        <w:spacing w:after="0"/>
      </w:pPr>
    </w:p>
    <w:tbl>
      <w:tblPr>
        <w:tblStyle w:val="TableGrid"/>
        <w:tblW w:w="9640" w:type="dxa"/>
        <w:tblInd w:w="-176" w:type="dxa"/>
        <w:tblLook w:val="04A0" w:firstRow="1" w:lastRow="0" w:firstColumn="1" w:lastColumn="0" w:noHBand="0" w:noVBand="1"/>
      </w:tblPr>
      <w:tblGrid>
        <w:gridCol w:w="9640"/>
      </w:tblGrid>
      <w:tr w:rsidR="006E0C65" w14:paraId="657DC37B" w14:textId="77777777" w:rsidTr="006E0C65">
        <w:tc>
          <w:tcPr>
            <w:tcW w:w="9640" w:type="dxa"/>
          </w:tcPr>
          <w:p w14:paraId="05D7E0C0" w14:textId="519F3266" w:rsidR="006E0C65" w:rsidRDefault="006E0C65" w:rsidP="006E0C65">
            <w:pPr>
              <w:rPr>
                <w:b/>
              </w:rPr>
            </w:pPr>
            <w:r>
              <w:rPr>
                <w:b/>
              </w:rPr>
              <w:t>Documentation reviewed during audit</w:t>
            </w:r>
          </w:p>
          <w:p w14:paraId="28675E86" w14:textId="77777777" w:rsidR="008460F5" w:rsidRDefault="008460F5" w:rsidP="008460F5">
            <w:r>
              <w:t>SOP001 V1.1 Aug 16</w:t>
            </w:r>
          </w:p>
          <w:p w14:paraId="6376D0C2" w14:textId="77777777" w:rsidR="000F5A3F" w:rsidRDefault="008460F5" w:rsidP="008460F5">
            <w:r>
              <w:t>SOP004 V1.1 Apr 17</w:t>
            </w:r>
          </w:p>
          <w:p w14:paraId="39D2C289" w14:textId="2F11A4C0" w:rsidR="008460F5" w:rsidRPr="006E0C65" w:rsidRDefault="008460F5" w:rsidP="008460F5">
            <w:r w:rsidRPr="008460F5">
              <w:t>SOP12 V1.1 6/6/18</w:t>
            </w:r>
          </w:p>
        </w:tc>
      </w:tr>
    </w:tbl>
    <w:p w14:paraId="24C12AFD" w14:textId="77777777" w:rsidR="006E0C65" w:rsidRDefault="006E0C65" w:rsidP="006E0C65">
      <w:pPr>
        <w:spacing w:after="0"/>
      </w:pPr>
    </w:p>
    <w:tbl>
      <w:tblPr>
        <w:tblStyle w:val="TableGrid"/>
        <w:tblW w:w="9640" w:type="dxa"/>
        <w:tblInd w:w="-176" w:type="dxa"/>
        <w:tblLook w:val="04A0" w:firstRow="1" w:lastRow="0" w:firstColumn="1" w:lastColumn="0" w:noHBand="0" w:noVBand="1"/>
      </w:tblPr>
      <w:tblGrid>
        <w:gridCol w:w="9640"/>
      </w:tblGrid>
      <w:tr w:rsidR="006E0C65" w14:paraId="0E00854C" w14:textId="77777777" w:rsidTr="006E0C65">
        <w:tc>
          <w:tcPr>
            <w:tcW w:w="9640" w:type="dxa"/>
          </w:tcPr>
          <w:p w14:paraId="219AF591" w14:textId="77777777" w:rsidR="006E0C65" w:rsidRDefault="006E0C65" w:rsidP="006E0C65">
            <w:pPr>
              <w:rPr>
                <w:b/>
              </w:rPr>
            </w:pPr>
            <w:r w:rsidRPr="006E0C65">
              <w:rPr>
                <w:b/>
              </w:rPr>
              <w:t>Details of audit and samples taken</w:t>
            </w:r>
          </w:p>
          <w:p w14:paraId="7E940AF8" w14:textId="3554180C" w:rsidR="008460F5" w:rsidRPr="008460F5" w:rsidRDefault="008460F5" w:rsidP="008460F5">
            <w:r w:rsidRPr="008460F5">
              <w:t>IJ demonstrated access to documents through Sharepoint and can access customer services folder</w:t>
            </w:r>
            <w:r>
              <w:t xml:space="preserve"> which included: </w:t>
            </w:r>
          </w:p>
          <w:p w14:paraId="13A6C04A" w14:textId="77777777" w:rsidR="008460F5" w:rsidRPr="008460F5" w:rsidRDefault="008460F5" w:rsidP="008460F5">
            <w:r w:rsidRPr="008460F5">
              <w:t>Procedures</w:t>
            </w:r>
          </w:p>
          <w:p w14:paraId="7F2B89FB" w14:textId="77777777" w:rsidR="008460F5" w:rsidRPr="008460F5" w:rsidRDefault="008460F5" w:rsidP="008460F5">
            <w:r w:rsidRPr="008460F5">
              <w:t>SOP001 V1.1 Aug 16</w:t>
            </w:r>
          </w:p>
          <w:p w14:paraId="44595DBE" w14:textId="77777777" w:rsidR="008460F5" w:rsidRPr="008460F5" w:rsidRDefault="008460F5" w:rsidP="008460F5">
            <w:r w:rsidRPr="008460F5">
              <w:t>SOP004 V1.1 Apr 17</w:t>
            </w:r>
          </w:p>
          <w:p w14:paraId="336E09BB" w14:textId="77623EBE" w:rsidR="008460F5" w:rsidRPr="008460F5" w:rsidRDefault="008460F5" w:rsidP="008460F5">
            <w:pPr>
              <w:rPr>
                <w:color w:val="FF0000"/>
              </w:rPr>
            </w:pPr>
            <w:r w:rsidRPr="008460F5">
              <w:t>IJ demonstrated setting up new customers. SOP12 V1.1 6/6/18 in the Track IT System then sets up in Multifreight and has access to Sets up Customers in Navision.</w:t>
            </w:r>
          </w:p>
          <w:p w14:paraId="1F781E42" w14:textId="6FCECA2E" w:rsidR="008460F5" w:rsidRPr="00F52B08" w:rsidRDefault="008460F5" w:rsidP="008460F5">
            <w:r w:rsidRPr="00F52B08">
              <w:rPr>
                <w:highlight w:val="yellow"/>
              </w:rPr>
              <w:t>Track IT is used for Tracking Customer Spend which he can access but does not use.</w:t>
            </w:r>
          </w:p>
          <w:p w14:paraId="6B2F4C3B" w14:textId="5B08B3DE" w:rsidR="008460F5" w:rsidRPr="008460F5" w:rsidRDefault="008460F5" w:rsidP="008460F5">
            <w:r w:rsidRPr="008460F5">
              <w:t>IJ explained that;</w:t>
            </w:r>
          </w:p>
          <w:p w14:paraId="5E2D7CDA" w14:textId="77777777" w:rsidR="008460F5" w:rsidRPr="008460F5" w:rsidRDefault="008460F5" w:rsidP="008460F5">
            <w:r w:rsidRPr="008460F5">
              <w:t>Multifreight is used for Operations including Allocation of Work &amp; Sub Contractors.</w:t>
            </w:r>
          </w:p>
          <w:p w14:paraId="121B9DDA" w14:textId="77777777" w:rsidR="008460F5" w:rsidRPr="008460F5" w:rsidRDefault="008460F5" w:rsidP="008460F5">
            <w:r w:rsidRPr="008460F5">
              <w:t>Navision – is used for Accounts and Invoicing.</w:t>
            </w:r>
          </w:p>
          <w:p w14:paraId="488361D4" w14:textId="77777777" w:rsidR="008460F5" w:rsidRPr="008460F5" w:rsidRDefault="008460F5" w:rsidP="008460F5">
            <w:r w:rsidRPr="008460F5">
              <w:t xml:space="preserve">IJ Evidenced Customers Set up in the Above Systems </w:t>
            </w:r>
            <w:proofErr w:type="gramStart"/>
            <w:r w:rsidRPr="008460F5">
              <w:t>including:-</w:t>
            </w:r>
            <w:proofErr w:type="gramEnd"/>
          </w:p>
          <w:p w14:paraId="734CCD3E" w14:textId="77777777" w:rsidR="008460F5" w:rsidRPr="008460F5" w:rsidRDefault="008460F5" w:rsidP="008460F5">
            <w:r w:rsidRPr="008460F5">
              <w:t>Majestic No CN0002699 9/7/18 in Navision</w:t>
            </w:r>
          </w:p>
          <w:p w14:paraId="646AAB72" w14:textId="77777777" w:rsidR="008460F5" w:rsidRPr="008460F5" w:rsidRDefault="008460F5" w:rsidP="008460F5">
            <w:r w:rsidRPr="008460F5">
              <w:t>Majestic Multifreight Job No 272907 Collect from Manchester for Delivery to IOM – Job Cancelled.</w:t>
            </w:r>
          </w:p>
          <w:p w14:paraId="6B403237" w14:textId="77E93BE3" w:rsidR="008460F5" w:rsidRDefault="008460F5" w:rsidP="008460F5">
            <w:r w:rsidRPr="008460F5">
              <w:lastRenderedPageBreak/>
              <w:t>Customers are set up from Information Collected in Customer Credit Application Form, which Details Name, Address, Data Protection and Bank Details Evidenced in Majestic Form Dated 27/6/18 on Template V1.0 3/6/16. Also allows to set up Credit Limits.</w:t>
            </w:r>
          </w:p>
          <w:p w14:paraId="49AB776A" w14:textId="5210F267" w:rsidR="008460F5" w:rsidRDefault="008460F5" w:rsidP="008460F5"/>
          <w:p w14:paraId="6F302B89" w14:textId="77777777" w:rsidR="008460F5" w:rsidRPr="008460F5" w:rsidRDefault="008460F5" w:rsidP="008460F5"/>
          <w:p w14:paraId="18D36736" w14:textId="77777777" w:rsidR="008460F5" w:rsidRPr="008460F5" w:rsidRDefault="008460F5" w:rsidP="008460F5">
            <w:r w:rsidRPr="008460F5">
              <w:t xml:space="preserve">The Audit Reviewed Multifreight to Evidence Customer Activity which </w:t>
            </w:r>
            <w:proofErr w:type="gramStart"/>
            <w:r w:rsidRPr="008460F5">
              <w:t>included:-</w:t>
            </w:r>
            <w:proofErr w:type="gramEnd"/>
          </w:p>
          <w:p w14:paraId="012B4695" w14:textId="77777777" w:rsidR="008460F5" w:rsidRPr="008460F5" w:rsidRDefault="008460F5" w:rsidP="008460F5">
            <w:r w:rsidRPr="008460F5">
              <w:t xml:space="preserve">Samples </w:t>
            </w:r>
            <w:proofErr w:type="gramStart"/>
            <w:r w:rsidRPr="008460F5">
              <w:t>Reviewed:-</w:t>
            </w:r>
            <w:proofErr w:type="gramEnd"/>
          </w:p>
          <w:p w14:paraId="743F6BF0" w14:textId="77777777" w:rsidR="008460F5" w:rsidRPr="008460F5" w:rsidRDefault="008460F5" w:rsidP="008460F5">
            <w:r w:rsidRPr="008460F5">
              <w:t xml:space="preserve">J 275549 </w:t>
            </w:r>
            <w:proofErr w:type="spellStart"/>
            <w:r w:rsidRPr="008460F5">
              <w:t>Whitemoss</w:t>
            </w:r>
            <w:proofErr w:type="spellEnd"/>
            <w:r w:rsidRPr="008460F5">
              <w:t xml:space="preserve"> 11 Pallets Compost Planned in for 7/9/18.</w:t>
            </w:r>
          </w:p>
          <w:p w14:paraId="401CBDAA" w14:textId="77777777" w:rsidR="008460F5" w:rsidRPr="008460F5" w:rsidRDefault="008460F5" w:rsidP="008460F5">
            <w:r w:rsidRPr="008460F5">
              <w:t>Operations take Information from Multifreight to Generate Instructions for Collections and Deliveries.</w:t>
            </w:r>
          </w:p>
          <w:p w14:paraId="29A5024B" w14:textId="77777777" w:rsidR="008460F5" w:rsidRPr="008460F5" w:rsidRDefault="008460F5" w:rsidP="008460F5">
            <w:r w:rsidRPr="008460F5">
              <w:t>J 272635 Warren Keys – 1 Pallet of Bathroom Products.</w:t>
            </w:r>
          </w:p>
          <w:p w14:paraId="3A55C16D" w14:textId="77777777" w:rsidR="008460F5" w:rsidRPr="008460F5" w:rsidRDefault="008460F5" w:rsidP="008460F5">
            <w:r w:rsidRPr="008460F5">
              <w:t>Job Completed as Invoiced.</w:t>
            </w:r>
          </w:p>
          <w:p w14:paraId="06EA45B2" w14:textId="260329F9" w:rsidR="008460F5" w:rsidRDefault="008460F5" w:rsidP="008460F5">
            <w:r w:rsidRPr="008460F5">
              <w:t>Customer Instructions are largely received by Email.</w:t>
            </w:r>
          </w:p>
          <w:p w14:paraId="648081FF" w14:textId="2DA345F2" w:rsidR="008460F5" w:rsidRPr="00F52B08" w:rsidRDefault="008460F5" w:rsidP="008460F5">
            <w:r w:rsidRPr="00F52B08">
              <w:rPr>
                <w:highlight w:val="yellow"/>
              </w:rPr>
              <w:t>No easy Link between Emails &amp; Multifreight making Tracking and Search “Longwinded</w:t>
            </w:r>
            <w:r w:rsidRPr="00F52B08">
              <w:t>”.</w:t>
            </w:r>
          </w:p>
          <w:p w14:paraId="481D7877" w14:textId="77777777" w:rsidR="008460F5" w:rsidRPr="008460F5" w:rsidRDefault="008460F5" w:rsidP="008460F5">
            <w:pPr>
              <w:rPr>
                <w:color w:val="FF0000"/>
              </w:rPr>
            </w:pPr>
          </w:p>
          <w:p w14:paraId="310806A7" w14:textId="77777777" w:rsidR="008460F5" w:rsidRPr="008460F5" w:rsidRDefault="008460F5" w:rsidP="008460F5">
            <w:r w:rsidRPr="008460F5">
              <w:t>Customer Satisfaction is measured through the NCR Process.</w:t>
            </w:r>
          </w:p>
          <w:p w14:paraId="1BF4078B" w14:textId="77777777" w:rsidR="008460F5" w:rsidRPr="008460F5" w:rsidRDefault="008460F5" w:rsidP="008460F5">
            <w:r w:rsidRPr="008460F5">
              <w:t xml:space="preserve">The Audit </w:t>
            </w:r>
            <w:proofErr w:type="gramStart"/>
            <w:r w:rsidRPr="008460F5">
              <w:t>Reviewed:-</w:t>
            </w:r>
            <w:proofErr w:type="gramEnd"/>
          </w:p>
          <w:p w14:paraId="7BD20EEC" w14:textId="77777777" w:rsidR="008460F5" w:rsidRPr="008460F5" w:rsidRDefault="008460F5" w:rsidP="008460F5">
            <w:r w:rsidRPr="008460F5">
              <w:t>Weekly Report 1/1/18 → 2/9/18 which Recorded 8 Job NCRs.</w:t>
            </w:r>
          </w:p>
          <w:p w14:paraId="4493731D" w14:textId="77777777" w:rsidR="008460F5" w:rsidRPr="008460F5" w:rsidRDefault="008460F5" w:rsidP="008460F5">
            <w:r w:rsidRPr="008460F5">
              <w:t xml:space="preserve">Weekly Report 1/1/18 → 2/9/18 Details </w:t>
            </w:r>
            <w:proofErr w:type="gramStart"/>
            <w:r w:rsidRPr="008460F5">
              <w:t>Non Job</w:t>
            </w:r>
            <w:proofErr w:type="gramEnd"/>
            <w:r w:rsidRPr="008460F5">
              <w:t xml:space="preserve"> NCRs.</w:t>
            </w:r>
          </w:p>
          <w:p w14:paraId="67B3F148" w14:textId="77777777" w:rsidR="008460F5" w:rsidRPr="008460F5" w:rsidRDefault="008460F5" w:rsidP="008460F5">
            <w:r w:rsidRPr="008460F5">
              <w:t xml:space="preserve">Audit Sampled Job </w:t>
            </w:r>
            <w:proofErr w:type="gramStart"/>
            <w:r w:rsidRPr="008460F5">
              <w:t>NCRs:-</w:t>
            </w:r>
            <w:proofErr w:type="gramEnd"/>
            <w:r w:rsidRPr="008460F5">
              <w:t xml:space="preserve"> J 274442 → J 274992</w:t>
            </w:r>
          </w:p>
          <w:p w14:paraId="7D3C3783" w14:textId="77777777" w:rsidR="008460F5" w:rsidRPr="008460F5" w:rsidRDefault="008460F5" w:rsidP="008460F5">
            <w:r w:rsidRPr="008460F5">
              <w:t>1.</w:t>
            </w:r>
            <w:r w:rsidRPr="008460F5">
              <w:tab/>
              <w:t>272553 Share Laminates – Damaged Goods – Pending Claim Raised 8/8/18.</w:t>
            </w:r>
          </w:p>
          <w:p w14:paraId="0A2A8D10" w14:textId="77777777" w:rsidR="008460F5" w:rsidRPr="008460F5" w:rsidRDefault="008460F5" w:rsidP="008460F5">
            <w:r w:rsidRPr="008460F5">
              <w:t>2.</w:t>
            </w:r>
            <w:r w:rsidRPr="008460F5">
              <w:tab/>
              <w:t>274992 Raised 3/9/18 – Walkers Warrington – Waving Goods received – Waiting further Instructions.</w:t>
            </w:r>
          </w:p>
          <w:p w14:paraId="1D7244A7" w14:textId="77777777" w:rsidR="008460F5" w:rsidRPr="008460F5" w:rsidRDefault="008460F5" w:rsidP="008460F5">
            <w:r w:rsidRPr="008460F5">
              <w:t xml:space="preserve">Sampled Non Job </w:t>
            </w:r>
            <w:proofErr w:type="gramStart"/>
            <w:r w:rsidRPr="008460F5">
              <w:t>NCR’s:-</w:t>
            </w:r>
            <w:proofErr w:type="gramEnd"/>
          </w:p>
          <w:p w14:paraId="43C08A18" w14:textId="77777777" w:rsidR="008460F5" w:rsidRPr="008460F5" w:rsidRDefault="008460F5" w:rsidP="008460F5">
            <w:r w:rsidRPr="008460F5">
              <w:t>1.</w:t>
            </w:r>
            <w:r w:rsidRPr="008460F5">
              <w:tab/>
              <w:t>31/8/18 – some Items not being stranded.</w:t>
            </w:r>
          </w:p>
          <w:p w14:paraId="4C7E82E0" w14:textId="77777777" w:rsidR="008460F5" w:rsidRPr="008460F5" w:rsidRDefault="008460F5" w:rsidP="008460F5">
            <w:r w:rsidRPr="008460F5">
              <w:t>2.</w:t>
            </w:r>
            <w:r w:rsidRPr="008460F5">
              <w:tab/>
              <w:t>14/8/18 – Defect on FLT – Actioned but still Ongoing.</w:t>
            </w:r>
          </w:p>
          <w:p w14:paraId="2C6FA225" w14:textId="77777777" w:rsidR="008460F5" w:rsidRPr="008460F5" w:rsidRDefault="008460F5" w:rsidP="008460F5">
            <w:r w:rsidRPr="008460F5">
              <w:t>3.</w:t>
            </w:r>
            <w:r w:rsidRPr="008460F5">
              <w:tab/>
              <w:t>24/8/18 – Splitter Door missing – Action Outstanding.</w:t>
            </w:r>
          </w:p>
          <w:p w14:paraId="51AC25F4" w14:textId="6BBF3126" w:rsidR="008460F5" w:rsidRDefault="008460F5" w:rsidP="008460F5">
            <w:r w:rsidRPr="008460F5">
              <w:t>IJ Presented Weekly Performance Review Deliveries. Target KPI of 99% Top 8 Results Areas of Business Ranged from 100% → 99.06% which is Monitored &amp; Reviewed Weekly.</w:t>
            </w:r>
          </w:p>
          <w:p w14:paraId="20CD6FA6" w14:textId="77777777" w:rsidR="008460F5" w:rsidRPr="008460F5" w:rsidRDefault="008460F5" w:rsidP="008460F5"/>
          <w:p w14:paraId="5438EA8A" w14:textId="77777777" w:rsidR="008460F5" w:rsidRPr="008460F5" w:rsidRDefault="008460F5" w:rsidP="008460F5">
            <w:r w:rsidRPr="008460F5">
              <w:t>Audit Reviewed Freight Dashboard from Multifreight which is used to populate the Weekly Report.</w:t>
            </w:r>
          </w:p>
          <w:p w14:paraId="268A955D" w14:textId="77777777" w:rsidR="008460F5" w:rsidRPr="008460F5" w:rsidRDefault="008460F5" w:rsidP="008460F5">
            <w:r w:rsidRPr="008460F5">
              <w:t xml:space="preserve">This </w:t>
            </w:r>
            <w:proofErr w:type="gramStart"/>
            <w:r w:rsidRPr="008460F5">
              <w:t>included:-</w:t>
            </w:r>
            <w:proofErr w:type="gramEnd"/>
          </w:p>
          <w:p w14:paraId="2D90D379" w14:textId="77777777" w:rsidR="008460F5" w:rsidRPr="008460F5" w:rsidRDefault="008460F5" w:rsidP="008460F5">
            <w:r w:rsidRPr="008460F5">
              <w:t>Contract NCRs =</w:t>
            </w:r>
          </w:p>
          <w:p w14:paraId="280D95C3" w14:textId="77777777" w:rsidR="008460F5" w:rsidRPr="008460F5" w:rsidRDefault="008460F5" w:rsidP="008460F5">
            <w:r w:rsidRPr="008460F5">
              <w:t>Invoice Queries</w:t>
            </w:r>
          </w:p>
          <w:p w14:paraId="2C371449" w14:textId="77777777" w:rsidR="008460F5" w:rsidRPr="008460F5" w:rsidRDefault="008460F5" w:rsidP="008460F5">
            <w:proofErr w:type="gramStart"/>
            <w:r w:rsidRPr="008460F5">
              <w:t>Non Job</w:t>
            </w:r>
            <w:proofErr w:type="gramEnd"/>
            <w:r w:rsidRPr="008460F5">
              <w:t xml:space="preserve"> NCR’s</w:t>
            </w:r>
          </w:p>
          <w:p w14:paraId="58120212" w14:textId="77777777" w:rsidR="008460F5" w:rsidRPr="008460F5" w:rsidRDefault="008460F5" w:rsidP="008460F5">
            <w:r w:rsidRPr="008460F5">
              <w:t>IJ Demonstrated KPI’s and Results for AKW.</w:t>
            </w:r>
          </w:p>
          <w:p w14:paraId="45E6464E" w14:textId="77777777" w:rsidR="008460F5" w:rsidRPr="008460F5" w:rsidRDefault="008460F5" w:rsidP="008460F5">
            <w:r w:rsidRPr="008460F5">
              <w:t>Target is 99% OTD</w:t>
            </w:r>
          </w:p>
          <w:p w14:paraId="2E23E90A" w14:textId="0440FC10" w:rsidR="008460F5" w:rsidRDefault="008460F5" w:rsidP="008460F5">
            <w:r w:rsidRPr="008460F5">
              <w:t>Result is 99.51% OTD</w:t>
            </w:r>
          </w:p>
          <w:p w14:paraId="4C12B399" w14:textId="77777777" w:rsidR="008460F5" w:rsidRPr="008460F5" w:rsidRDefault="008460F5" w:rsidP="008460F5"/>
          <w:p w14:paraId="32B00225" w14:textId="77777777" w:rsidR="008460F5" w:rsidRPr="008460F5" w:rsidRDefault="008460F5" w:rsidP="008460F5">
            <w:r w:rsidRPr="008460F5">
              <w:t>The Audit moved onto Access Rights &amp; Controls.</w:t>
            </w:r>
          </w:p>
          <w:p w14:paraId="254F134B" w14:textId="77777777" w:rsidR="008460F5" w:rsidRPr="008460F5" w:rsidRDefault="008460F5" w:rsidP="008460F5">
            <w:r w:rsidRPr="008460F5">
              <w:t>IJ can Access Navision, Multifreight, track IT &amp; Sharepoint.</w:t>
            </w:r>
          </w:p>
          <w:p w14:paraId="65A3F385" w14:textId="77777777" w:rsidR="008460F5" w:rsidRPr="008460F5" w:rsidRDefault="008460F5" w:rsidP="008460F5">
            <w:r w:rsidRPr="008460F5">
              <w:lastRenderedPageBreak/>
              <w:t>YB can Access. Same as IJ.</w:t>
            </w:r>
          </w:p>
          <w:p w14:paraId="5DC215E6" w14:textId="0480E0DB" w:rsidR="008460F5" w:rsidRDefault="008460F5" w:rsidP="008460F5">
            <w:r w:rsidRPr="008460F5">
              <w:t>DM can Access. Cannot Access Track IT.</w:t>
            </w:r>
          </w:p>
          <w:p w14:paraId="5F3EF717" w14:textId="77777777" w:rsidR="008460F5" w:rsidRPr="008460F5" w:rsidRDefault="008460F5" w:rsidP="008460F5"/>
          <w:p w14:paraId="79CEF790" w14:textId="0D9A1CC7" w:rsidR="008460F5" w:rsidRDefault="008460F5" w:rsidP="008460F5">
            <w:r w:rsidRPr="008460F5">
              <w:t>IJ Demonstrated Logging onto Network through a Disguised Password and is Controlled by Forced Change and must Follow the Standard Configuration.</w:t>
            </w:r>
          </w:p>
          <w:p w14:paraId="6C4EB596" w14:textId="77777777" w:rsidR="008460F5" w:rsidRPr="008460F5" w:rsidRDefault="008460F5" w:rsidP="008460F5"/>
          <w:p w14:paraId="13FC3571" w14:textId="77777777" w:rsidR="008460F5" w:rsidRPr="008460F5" w:rsidRDefault="008460F5" w:rsidP="008460F5">
            <w:r w:rsidRPr="008460F5">
              <w:t xml:space="preserve">EMS </w:t>
            </w:r>
            <w:proofErr w:type="gramStart"/>
            <w:r w:rsidRPr="008460F5">
              <w:t>Controls:-</w:t>
            </w:r>
            <w:proofErr w:type="gramEnd"/>
            <w:r w:rsidRPr="008460F5">
              <w:t xml:space="preserve"> Includes reduced Paper Consumption and saving Power IE close down Procedure.</w:t>
            </w:r>
          </w:p>
          <w:p w14:paraId="4D9AF9B4" w14:textId="77777777" w:rsidR="008460F5" w:rsidRPr="008460F5" w:rsidRDefault="008460F5" w:rsidP="008460F5">
            <w:r w:rsidRPr="008460F5">
              <w:t>Also Demonstrated Recycling Controls for Plastic, Cans and Compost.</w:t>
            </w:r>
          </w:p>
          <w:p w14:paraId="4D6A5D6F" w14:textId="22993DA5" w:rsidR="008460F5" w:rsidRDefault="008460F5" w:rsidP="008460F5">
            <w:pPr>
              <w:rPr>
                <w:color w:val="FF0000"/>
              </w:rPr>
            </w:pPr>
            <w:r w:rsidRPr="008460F5">
              <w:t>Confidential Waste placed in Locked Bin</w:t>
            </w:r>
            <w:r w:rsidRPr="008460F5">
              <w:rPr>
                <w:color w:val="FF0000"/>
              </w:rPr>
              <w:t>.</w:t>
            </w:r>
          </w:p>
          <w:p w14:paraId="6BDEAA0C" w14:textId="77777777" w:rsidR="008460F5" w:rsidRPr="008460F5" w:rsidRDefault="008460F5" w:rsidP="008460F5">
            <w:pPr>
              <w:rPr>
                <w:color w:val="FF0000"/>
              </w:rPr>
            </w:pPr>
          </w:p>
          <w:p w14:paraId="3DD1A098" w14:textId="098B053E" w:rsidR="000F5A3F" w:rsidRPr="00F52B08" w:rsidRDefault="008460F5" w:rsidP="008460F5">
            <w:r w:rsidRPr="00F52B08">
              <w:rPr>
                <w:highlight w:val="cyan"/>
              </w:rPr>
              <w:t>NCRs may not be Evidencing Root Cause.</w:t>
            </w:r>
          </w:p>
          <w:p w14:paraId="6B4D08C3" w14:textId="77777777" w:rsidR="000F5A3F" w:rsidRPr="00014C21" w:rsidRDefault="000F5A3F" w:rsidP="00014C21">
            <w:pPr>
              <w:rPr>
                <w:color w:val="FF0000"/>
              </w:rPr>
            </w:pPr>
          </w:p>
          <w:p w14:paraId="0A7EF5D2" w14:textId="77777777" w:rsidR="000F5A3F" w:rsidRPr="00014C21" w:rsidRDefault="000F5A3F" w:rsidP="00014C21">
            <w:pPr>
              <w:rPr>
                <w:color w:val="FF0000"/>
              </w:rPr>
            </w:pPr>
          </w:p>
          <w:p w14:paraId="7B588558" w14:textId="5397496D" w:rsidR="006E0C65" w:rsidRPr="006E0C65" w:rsidRDefault="005722EB" w:rsidP="006E0C65">
            <w:pPr>
              <w:rPr>
                <w:b/>
              </w:rPr>
            </w:pPr>
            <w:r>
              <w:rPr>
                <w:b/>
              </w:rPr>
              <w:t>Signed (</w:t>
            </w:r>
            <w:proofErr w:type="gramStart"/>
            <w:r>
              <w:rPr>
                <w:b/>
              </w:rPr>
              <w:t xml:space="preserve">auditor)   </w:t>
            </w:r>
            <w:proofErr w:type="gramEnd"/>
            <w:r>
              <w:rPr>
                <w:b/>
              </w:rPr>
              <w:t xml:space="preserve">           </w:t>
            </w:r>
            <w:r w:rsidR="0013779C">
              <w:rPr>
                <w:b/>
              </w:rPr>
              <w:t>K</w:t>
            </w:r>
            <w:r>
              <w:rPr>
                <w:b/>
              </w:rPr>
              <w:t xml:space="preserve"> Burnell                                                                                             Date </w:t>
            </w:r>
            <w:r w:rsidR="00CC596F">
              <w:rPr>
                <w:b/>
              </w:rPr>
              <w:t>6</w:t>
            </w:r>
            <w:r w:rsidR="0013779C">
              <w:rPr>
                <w:b/>
              </w:rPr>
              <w:t>/9/18</w:t>
            </w:r>
          </w:p>
        </w:tc>
      </w:tr>
    </w:tbl>
    <w:p w14:paraId="45065FB1" w14:textId="77777777" w:rsidR="006E0C65" w:rsidRPr="006E0C65" w:rsidRDefault="006E0C65" w:rsidP="006E0C65">
      <w:pPr>
        <w:spacing w:after="0"/>
      </w:pPr>
    </w:p>
    <w:tbl>
      <w:tblPr>
        <w:tblStyle w:val="TableGrid"/>
        <w:tblW w:w="9640" w:type="dxa"/>
        <w:tblInd w:w="-176" w:type="dxa"/>
        <w:tblLook w:val="04A0" w:firstRow="1" w:lastRow="0" w:firstColumn="1" w:lastColumn="0" w:noHBand="0" w:noVBand="1"/>
      </w:tblPr>
      <w:tblGrid>
        <w:gridCol w:w="2486"/>
        <w:gridCol w:w="2310"/>
        <w:gridCol w:w="2434"/>
        <w:gridCol w:w="2410"/>
      </w:tblGrid>
      <w:tr w:rsidR="006E0C65" w14:paraId="20F133DA" w14:textId="77777777" w:rsidTr="0013779C">
        <w:tc>
          <w:tcPr>
            <w:tcW w:w="2486" w:type="dxa"/>
            <w:shd w:val="clear" w:color="auto" w:fill="auto"/>
          </w:tcPr>
          <w:p w14:paraId="2091F427" w14:textId="77777777" w:rsidR="006E0C65" w:rsidRDefault="006E0C65" w:rsidP="00D35723">
            <w:pPr>
              <w:tabs>
                <w:tab w:val="center" w:pos="4513"/>
                <w:tab w:val="left" w:pos="5626"/>
              </w:tabs>
              <w:rPr>
                <w:b/>
              </w:rPr>
            </w:pPr>
            <w:r>
              <w:rPr>
                <w:b/>
              </w:rPr>
              <w:t>Passed</w:t>
            </w:r>
          </w:p>
        </w:tc>
        <w:tc>
          <w:tcPr>
            <w:tcW w:w="2310" w:type="dxa"/>
          </w:tcPr>
          <w:p w14:paraId="1A503065" w14:textId="77777777" w:rsidR="006E0C65" w:rsidRDefault="006E0C65" w:rsidP="00D35723">
            <w:pPr>
              <w:tabs>
                <w:tab w:val="center" w:pos="4513"/>
                <w:tab w:val="left" w:pos="5626"/>
              </w:tabs>
              <w:rPr>
                <w:b/>
              </w:rPr>
            </w:pPr>
            <w:r>
              <w:rPr>
                <w:b/>
              </w:rPr>
              <w:t>Major NC</w:t>
            </w:r>
          </w:p>
        </w:tc>
        <w:tc>
          <w:tcPr>
            <w:tcW w:w="2434" w:type="dxa"/>
          </w:tcPr>
          <w:p w14:paraId="115D5D53" w14:textId="24228053" w:rsidR="006E0C65" w:rsidRDefault="006E0C65" w:rsidP="00D35723">
            <w:pPr>
              <w:tabs>
                <w:tab w:val="center" w:pos="4513"/>
                <w:tab w:val="left" w:pos="5626"/>
              </w:tabs>
              <w:rPr>
                <w:b/>
              </w:rPr>
            </w:pPr>
            <w:r w:rsidRPr="00231A42">
              <w:rPr>
                <w:b/>
                <w:highlight w:val="cyan"/>
              </w:rPr>
              <w:t>Minor NC</w:t>
            </w:r>
            <w:r w:rsidR="00231A42" w:rsidRPr="00231A42">
              <w:rPr>
                <w:b/>
                <w:highlight w:val="cyan"/>
              </w:rPr>
              <w:t xml:space="preserve"> 1</w:t>
            </w:r>
          </w:p>
        </w:tc>
        <w:tc>
          <w:tcPr>
            <w:tcW w:w="2410" w:type="dxa"/>
          </w:tcPr>
          <w:p w14:paraId="45D1E955" w14:textId="060F292A" w:rsidR="006E0C65" w:rsidRDefault="006E0C65" w:rsidP="00D35723">
            <w:pPr>
              <w:tabs>
                <w:tab w:val="center" w:pos="4513"/>
                <w:tab w:val="left" w:pos="5626"/>
              </w:tabs>
              <w:rPr>
                <w:b/>
              </w:rPr>
            </w:pPr>
            <w:r w:rsidRPr="00231A42">
              <w:rPr>
                <w:b/>
                <w:highlight w:val="yellow"/>
              </w:rPr>
              <w:t>O F I</w:t>
            </w:r>
            <w:r w:rsidR="00231A42" w:rsidRPr="00231A42">
              <w:rPr>
                <w:b/>
                <w:highlight w:val="yellow"/>
              </w:rPr>
              <w:t xml:space="preserve"> 2</w:t>
            </w:r>
          </w:p>
        </w:tc>
      </w:tr>
      <w:tr w:rsidR="006E0C65" w14:paraId="31E15CAB" w14:textId="77777777" w:rsidTr="00AE4DB8">
        <w:tc>
          <w:tcPr>
            <w:tcW w:w="9640" w:type="dxa"/>
            <w:gridSpan w:val="4"/>
          </w:tcPr>
          <w:p w14:paraId="605F0118" w14:textId="77777777" w:rsidR="006E0C65" w:rsidRDefault="006E0C65" w:rsidP="00D35723">
            <w:pPr>
              <w:tabs>
                <w:tab w:val="center" w:pos="4513"/>
                <w:tab w:val="left" w:pos="5626"/>
              </w:tabs>
              <w:rPr>
                <w:i/>
                <w:sz w:val="20"/>
                <w:szCs w:val="20"/>
              </w:rPr>
            </w:pPr>
            <w:r>
              <w:rPr>
                <w:b/>
              </w:rPr>
              <w:t xml:space="preserve">Summary and Results of Audit </w:t>
            </w:r>
            <w:r w:rsidRPr="006E0C65">
              <w:rPr>
                <w:i/>
                <w:sz w:val="20"/>
                <w:szCs w:val="20"/>
              </w:rPr>
              <w:t>(tick appropriate box)</w:t>
            </w:r>
          </w:p>
          <w:p w14:paraId="6F54C22B" w14:textId="5E4035BD" w:rsidR="006E0C65" w:rsidRDefault="00231A42" w:rsidP="00D35723">
            <w:pPr>
              <w:tabs>
                <w:tab w:val="center" w:pos="4513"/>
                <w:tab w:val="left" w:pos="5626"/>
              </w:tabs>
              <w:rPr>
                <w:i/>
                <w:sz w:val="20"/>
                <w:szCs w:val="20"/>
                <w:highlight w:val="cyan"/>
              </w:rPr>
            </w:pPr>
            <w:r w:rsidRPr="00231A42">
              <w:rPr>
                <w:i/>
                <w:sz w:val="20"/>
                <w:szCs w:val="20"/>
                <w:highlight w:val="cyan"/>
              </w:rPr>
              <w:t>NCRs may not be Evidencing Root Cause</w:t>
            </w:r>
            <w:r>
              <w:rPr>
                <w:i/>
                <w:sz w:val="20"/>
                <w:szCs w:val="20"/>
                <w:highlight w:val="cyan"/>
              </w:rPr>
              <w:t xml:space="preserve"> which is a non-conformance against 9001;2015 clause 10.2.1 (b2) determining the causes of non-conformances</w:t>
            </w:r>
            <w:bookmarkStart w:id="0" w:name="_GoBack"/>
            <w:bookmarkEnd w:id="0"/>
            <w:r>
              <w:rPr>
                <w:i/>
                <w:sz w:val="20"/>
                <w:szCs w:val="20"/>
                <w:highlight w:val="cyan"/>
              </w:rPr>
              <w:t>.</w:t>
            </w:r>
          </w:p>
          <w:p w14:paraId="62BC4202" w14:textId="77777777" w:rsidR="00231A42" w:rsidRDefault="00231A42" w:rsidP="00D35723">
            <w:pPr>
              <w:tabs>
                <w:tab w:val="center" w:pos="4513"/>
                <w:tab w:val="left" w:pos="5626"/>
              </w:tabs>
              <w:rPr>
                <w:i/>
                <w:sz w:val="20"/>
                <w:szCs w:val="20"/>
              </w:rPr>
            </w:pPr>
          </w:p>
          <w:p w14:paraId="21A9ED53" w14:textId="482041A9" w:rsidR="006E0C65" w:rsidRDefault="00231A42" w:rsidP="00D35723">
            <w:pPr>
              <w:tabs>
                <w:tab w:val="center" w:pos="4513"/>
                <w:tab w:val="left" w:pos="5626"/>
              </w:tabs>
              <w:rPr>
                <w:i/>
                <w:sz w:val="20"/>
                <w:szCs w:val="20"/>
                <w:highlight w:val="yellow"/>
              </w:rPr>
            </w:pPr>
            <w:r w:rsidRPr="00231A42">
              <w:rPr>
                <w:i/>
                <w:sz w:val="20"/>
                <w:szCs w:val="20"/>
                <w:highlight w:val="yellow"/>
              </w:rPr>
              <w:t>Track IT is used for Tracking Customer Spend which he can access but does not use.</w:t>
            </w:r>
          </w:p>
          <w:p w14:paraId="1883D3AE" w14:textId="77777777" w:rsidR="00231A42" w:rsidRDefault="00231A42" w:rsidP="00D35723">
            <w:pPr>
              <w:tabs>
                <w:tab w:val="center" w:pos="4513"/>
                <w:tab w:val="left" w:pos="5626"/>
              </w:tabs>
              <w:rPr>
                <w:i/>
                <w:sz w:val="20"/>
                <w:szCs w:val="20"/>
                <w:highlight w:val="yellow"/>
              </w:rPr>
            </w:pPr>
          </w:p>
          <w:p w14:paraId="267DBB4C" w14:textId="165B5E35" w:rsidR="00231A42" w:rsidRDefault="00231A42" w:rsidP="00D35723">
            <w:pPr>
              <w:tabs>
                <w:tab w:val="center" w:pos="4513"/>
                <w:tab w:val="left" w:pos="5626"/>
              </w:tabs>
              <w:rPr>
                <w:i/>
                <w:sz w:val="20"/>
                <w:szCs w:val="20"/>
              </w:rPr>
            </w:pPr>
            <w:r w:rsidRPr="00231A42">
              <w:rPr>
                <w:i/>
                <w:sz w:val="20"/>
                <w:szCs w:val="20"/>
                <w:highlight w:val="yellow"/>
              </w:rPr>
              <w:t>No easy Link between Emails &amp; Multifreight making Tracking and Search “Longwinded</w:t>
            </w:r>
          </w:p>
          <w:p w14:paraId="0F024CD1" w14:textId="12848831" w:rsidR="005722EB" w:rsidRDefault="005722EB" w:rsidP="00D35723">
            <w:pPr>
              <w:tabs>
                <w:tab w:val="center" w:pos="4513"/>
                <w:tab w:val="left" w:pos="5626"/>
              </w:tabs>
              <w:rPr>
                <w:b/>
              </w:rPr>
            </w:pPr>
            <w:r>
              <w:rPr>
                <w:b/>
              </w:rPr>
              <w:t>Signed (</w:t>
            </w:r>
            <w:proofErr w:type="gramStart"/>
            <w:r>
              <w:rPr>
                <w:b/>
              </w:rPr>
              <w:t xml:space="preserve">auditor)   </w:t>
            </w:r>
            <w:proofErr w:type="gramEnd"/>
            <w:r>
              <w:rPr>
                <w:b/>
              </w:rPr>
              <w:t xml:space="preserve">           </w:t>
            </w:r>
            <w:r w:rsidR="00896016">
              <w:rPr>
                <w:b/>
              </w:rPr>
              <w:t>K</w:t>
            </w:r>
            <w:r>
              <w:rPr>
                <w:b/>
              </w:rPr>
              <w:t xml:space="preserve"> Burnell                                                                                             Date </w:t>
            </w:r>
            <w:r w:rsidR="00CC596F">
              <w:rPr>
                <w:b/>
              </w:rPr>
              <w:t>6</w:t>
            </w:r>
            <w:r w:rsidR="00896016">
              <w:rPr>
                <w:b/>
              </w:rPr>
              <w:t>/</w:t>
            </w:r>
            <w:r w:rsidR="005532AA">
              <w:rPr>
                <w:b/>
              </w:rPr>
              <w:t>9</w:t>
            </w:r>
            <w:r w:rsidR="00896016">
              <w:rPr>
                <w:b/>
              </w:rPr>
              <w:t>/18</w:t>
            </w:r>
          </w:p>
          <w:p w14:paraId="6649A239" w14:textId="489E3586" w:rsidR="006E0C65" w:rsidRPr="006E0C65" w:rsidRDefault="006E0C65" w:rsidP="00D35723">
            <w:pPr>
              <w:tabs>
                <w:tab w:val="center" w:pos="4513"/>
                <w:tab w:val="left" w:pos="5626"/>
              </w:tabs>
              <w:rPr>
                <w:b/>
              </w:rPr>
            </w:pPr>
            <w:r>
              <w:rPr>
                <w:b/>
              </w:rPr>
              <w:t xml:space="preserve">Signed (auditee                                                                                            </w:t>
            </w:r>
            <w:r w:rsidR="00896016">
              <w:rPr>
                <w:b/>
              </w:rPr>
              <w:t xml:space="preserve">                                 </w:t>
            </w:r>
            <w:r>
              <w:rPr>
                <w:b/>
              </w:rPr>
              <w:t>Date</w:t>
            </w:r>
            <w:r w:rsidR="00AC05FA">
              <w:rPr>
                <w:b/>
              </w:rPr>
              <w:t xml:space="preserve"> </w:t>
            </w:r>
          </w:p>
        </w:tc>
      </w:tr>
    </w:tbl>
    <w:p w14:paraId="2DACDE8B"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D137B6" w14:paraId="4E061533" w14:textId="77777777" w:rsidTr="00F244C9">
        <w:tc>
          <w:tcPr>
            <w:tcW w:w="9640" w:type="dxa"/>
            <w:shd w:val="clear" w:color="auto" w:fill="A6A6A6" w:themeFill="background1" w:themeFillShade="A6"/>
          </w:tcPr>
          <w:p w14:paraId="5BE24CD7" w14:textId="77777777" w:rsidR="00D137B6" w:rsidRDefault="00D137B6" w:rsidP="00D35723">
            <w:pPr>
              <w:tabs>
                <w:tab w:val="center" w:pos="4513"/>
                <w:tab w:val="left" w:pos="5626"/>
              </w:tabs>
              <w:rPr>
                <w:b/>
              </w:rPr>
            </w:pPr>
            <w:r>
              <w:rPr>
                <w:b/>
              </w:rPr>
              <w:t>Investigation including Root Cause ( 5 whys )</w:t>
            </w:r>
          </w:p>
          <w:p w14:paraId="13AAC5DA" w14:textId="77777777" w:rsidR="00D137B6" w:rsidRDefault="00D137B6" w:rsidP="00D35723">
            <w:pPr>
              <w:tabs>
                <w:tab w:val="center" w:pos="4513"/>
                <w:tab w:val="left" w:pos="5626"/>
              </w:tabs>
              <w:rPr>
                <w:b/>
              </w:rPr>
            </w:pPr>
          </w:p>
          <w:p w14:paraId="1974E555" w14:textId="77777777" w:rsidR="00D137B6" w:rsidRDefault="00D137B6" w:rsidP="00D35723">
            <w:pPr>
              <w:tabs>
                <w:tab w:val="center" w:pos="4513"/>
                <w:tab w:val="left" w:pos="5626"/>
              </w:tabs>
              <w:rPr>
                <w:b/>
              </w:rPr>
            </w:pPr>
          </w:p>
          <w:p w14:paraId="348EBD01" w14:textId="77777777" w:rsidR="00D137B6" w:rsidRDefault="00D137B6" w:rsidP="00D35723">
            <w:pPr>
              <w:tabs>
                <w:tab w:val="center" w:pos="4513"/>
                <w:tab w:val="left" w:pos="5626"/>
              </w:tabs>
              <w:rPr>
                <w:b/>
              </w:rPr>
            </w:pPr>
          </w:p>
          <w:p w14:paraId="62F5A202" w14:textId="77777777" w:rsidR="00026F65" w:rsidRDefault="00026F65" w:rsidP="00D35723">
            <w:pPr>
              <w:tabs>
                <w:tab w:val="center" w:pos="4513"/>
                <w:tab w:val="left" w:pos="5626"/>
              </w:tabs>
              <w:rPr>
                <w:b/>
              </w:rPr>
            </w:pPr>
          </w:p>
          <w:p w14:paraId="04550DFB" w14:textId="77777777" w:rsidR="00D137B6" w:rsidRDefault="00D137B6" w:rsidP="00D35723">
            <w:pPr>
              <w:tabs>
                <w:tab w:val="center" w:pos="4513"/>
                <w:tab w:val="left" w:pos="5626"/>
              </w:tabs>
              <w:rPr>
                <w:b/>
              </w:rPr>
            </w:pPr>
            <w:r>
              <w:rPr>
                <w:b/>
              </w:rPr>
              <w:t>Signed                                                                                                                              Date</w:t>
            </w:r>
          </w:p>
        </w:tc>
      </w:tr>
    </w:tbl>
    <w:p w14:paraId="5A681626" w14:textId="77777777" w:rsidR="00D137B6" w:rsidRDefault="00D137B6"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14:paraId="3FAD1CA6" w14:textId="77777777" w:rsidTr="00F244C9">
        <w:tc>
          <w:tcPr>
            <w:tcW w:w="9640" w:type="dxa"/>
            <w:shd w:val="clear" w:color="auto" w:fill="A6A6A6" w:themeFill="background1" w:themeFillShade="A6"/>
          </w:tcPr>
          <w:p w14:paraId="66269ABA" w14:textId="77777777" w:rsidR="006E0C65" w:rsidRDefault="006E0C65" w:rsidP="00D35723">
            <w:pPr>
              <w:tabs>
                <w:tab w:val="center" w:pos="4513"/>
                <w:tab w:val="left" w:pos="5626"/>
              </w:tabs>
              <w:rPr>
                <w:b/>
              </w:rPr>
            </w:pPr>
            <w:r>
              <w:rPr>
                <w:b/>
              </w:rPr>
              <w:t>Corrective Action Agreed</w:t>
            </w:r>
          </w:p>
          <w:p w14:paraId="720AB320" w14:textId="77777777" w:rsidR="006E0C65" w:rsidRDefault="006E0C65" w:rsidP="00D35723">
            <w:pPr>
              <w:tabs>
                <w:tab w:val="center" w:pos="4513"/>
                <w:tab w:val="left" w:pos="5626"/>
              </w:tabs>
              <w:rPr>
                <w:b/>
              </w:rPr>
            </w:pPr>
          </w:p>
          <w:p w14:paraId="1F86BF80" w14:textId="77777777" w:rsidR="006E0C65" w:rsidRDefault="006E0C65" w:rsidP="00D35723">
            <w:pPr>
              <w:tabs>
                <w:tab w:val="center" w:pos="4513"/>
                <w:tab w:val="left" w:pos="5626"/>
              </w:tabs>
              <w:rPr>
                <w:b/>
              </w:rPr>
            </w:pPr>
          </w:p>
          <w:p w14:paraId="0F6D4222" w14:textId="77777777" w:rsidR="006E0C65" w:rsidRDefault="006E0C65" w:rsidP="00D35723">
            <w:pPr>
              <w:tabs>
                <w:tab w:val="center" w:pos="4513"/>
                <w:tab w:val="left" w:pos="5626"/>
              </w:tabs>
              <w:rPr>
                <w:b/>
              </w:rPr>
            </w:pPr>
          </w:p>
          <w:p w14:paraId="6D8EC167" w14:textId="77777777" w:rsidR="006E0C65" w:rsidRDefault="006E0C65" w:rsidP="00D35723">
            <w:pPr>
              <w:tabs>
                <w:tab w:val="center" w:pos="4513"/>
                <w:tab w:val="left" w:pos="5626"/>
              </w:tabs>
              <w:rPr>
                <w:b/>
              </w:rPr>
            </w:pPr>
          </w:p>
          <w:p w14:paraId="189E8F52" w14:textId="77777777" w:rsidR="006E0C65" w:rsidRDefault="006E0C65" w:rsidP="006E0C65">
            <w:pPr>
              <w:tabs>
                <w:tab w:val="center" w:pos="4513"/>
                <w:tab w:val="left" w:pos="5626"/>
              </w:tabs>
              <w:rPr>
                <w:b/>
              </w:rPr>
            </w:pPr>
            <w:r>
              <w:rPr>
                <w:b/>
              </w:rPr>
              <w:t>Signed (auditor)                                                                                                           Date</w:t>
            </w:r>
          </w:p>
          <w:p w14:paraId="15ECFCDB" w14:textId="77777777" w:rsidR="006E0C65" w:rsidRDefault="006E0C65" w:rsidP="006E0C65">
            <w:pPr>
              <w:tabs>
                <w:tab w:val="center" w:pos="4513"/>
                <w:tab w:val="left" w:pos="5626"/>
              </w:tabs>
              <w:rPr>
                <w:b/>
              </w:rPr>
            </w:pPr>
            <w:r>
              <w:rPr>
                <w:b/>
              </w:rPr>
              <w:t>Signed (process owner)                                                                                              Date</w:t>
            </w:r>
          </w:p>
        </w:tc>
      </w:tr>
    </w:tbl>
    <w:p w14:paraId="6F30E3E5" w14:textId="77777777" w:rsidR="006E0C65" w:rsidRDefault="006E0C65" w:rsidP="00D35723">
      <w:pPr>
        <w:tabs>
          <w:tab w:val="center" w:pos="4513"/>
          <w:tab w:val="left" w:pos="5626"/>
        </w:tabs>
        <w:spacing w:after="0"/>
        <w:rPr>
          <w:b/>
        </w:rPr>
      </w:pPr>
    </w:p>
    <w:tbl>
      <w:tblPr>
        <w:tblStyle w:val="TableGrid"/>
        <w:tblW w:w="9640" w:type="dxa"/>
        <w:tblInd w:w="-176" w:type="dxa"/>
        <w:tblLook w:val="04A0" w:firstRow="1" w:lastRow="0" w:firstColumn="1" w:lastColumn="0" w:noHBand="0" w:noVBand="1"/>
      </w:tblPr>
      <w:tblGrid>
        <w:gridCol w:w="9640"/>
      </w:tblGrid>
      <w:tr w:rsidR="006E0C65" w14:paraId="40F4CBC2" w14:textId="77777777" w:rsidTr="00F244C9">
        <w:tc>
          <w:tcPr>
            <w:tcW w:w="9640" w:type="dxa"/>
            <w:shd w:val="clear" w:color="auto" w:fill="A6A6A6" w:themeFill="background1" w:themeFillShade="A6"/>
          </w:tcPr>
          <w:p w14:paraId="41A3AEFE" w14:textId="77777777" w:rsidR="006E0C65" w:rsidRDefault="000458ED" w:rsidP="00D35723">
            <w:pPr>
              <w:tabs>
                <w:tab w:val="center" w:pos="4513"/>
                <w:tab w:val="left" w:pos="5626"/>
              </w:tabs>
              <w:rPr>
                <w:b/>
              </w:rPr>
            </w:pPr>
            <w:r>
              <w:rPr>
                <w:b/>
              </w:rPr>
              <w:t>Corrective action completed</w:t>
            </w:r>
          </w:p>
          <w:p w14:paraId="3F7D2834" w14:textId="77777777" w:rsidR="000458ED" w:rsidRDefault="000458ED" w:rsidP="00D35723">
            <w:pPr>
              <w:tabs>
                <w:tab w:val="center" w:pos="4513"/>
                <w:tab w:val="left" w:pos="5626"/>
              </w:tabs>
              <w:rPr>
                <w:b/>
              </w:rPr>
            </w:pPr>
          </w:p>
          <w:p w14:paraId="3F7C3C3D" w14:textId="77777777" w:rsidR="000458ED" w:rsidRDefault="000458ED" w:rsidP="00D35723">
            <w:pPr>
              <w:tabs>
                <w:tab w:val="center" w:pos="4513"/>
                <w:tab w:val="left" w:pos="5626"/>
              </w:tabs>
              <w:rPr>
                <w:b/>
              </w:rPr>
            </w:pPr>
          </w:p>
          <w:p w14:paraId="1C1FD8D6" w14:textId="77777777" w:rsidR="000458ED" w:rsidRDefault="000458ED" w:rsidP="00D35723">
            <w:pPr>
              <w:tabs>
                <w:tab w:val="center" w:pos="4513"/>
                <w:tab w:val="left" w:pos="5626"/>
              </w:tabs>
              <w:rPr>
                <w:b/>
              </w:rPr>
            </w:pPr>
          </w:p>
          <w:p w14:paraId="0CCE5A12" w14:textId="77777777" w:rsidR="000458ED" w:rsidRDefault="000458ED" w:rsidP="00D35723">
            <w:pPr>
              <w:tabs>
                <w:tab w:val="center" w:pos="4513"/>
                <w:tab w:val="left" w:pos="5626"/>
              </w:tabs>
              <w:rPr>
                <w:b/>
              </w:rPr>
            </w:pPr>
          </w:p>
          <w:p w14:paraId="63620D39" w14:textId="77777777" w:rsidR="000458ED" w:rsidRDefault="000458ED" w:rsidP="000458ED">
            <w:pPr>
              <w:tabs>
                <w:tab w:val="center" w:pos="4513"/>
                <w:tab w:val="left" w:pos="5626"/>
              </w:tabs>
              <w:rPr>
                <w:b/>
              </w:rPr>
            </w:pPr>
            <w:r>
              <w:rPr>
                <w:b/>
              </w:rPr>
              <w:t>Signed (auditor)                                                                                                           Date</w:t>
            </w:r>
          </w:p>
          <w:p w14:paraId="43A235BF" w14:textId="77777777" w:rsidR="000458ED" w:rsidRDefault="000458ED" w:rsidP="000458ED">
            <w:pPr>
              <w:tabs>
                <w:tab w:val="center" w:pos="4513"/>
                <w:tab w:val="left" w:pos="5626"/>
              </w:tabs>
              <w:rPr>
                <w:b/>
              </w:rPr>
            </w:pPr>
            <w:r>
              <w:rPr>
                <w:b/>
              </w:rPr>
              <w:t>Signed (process owner)                                                                                              Date</w:t>
            </w:r>
          </w:p>
        </w:tc>
      </w:tr>
    </w:tbl>
    <w:p w14:paraId="0A39B67C" w14:textId="77777777" w:rsidR="006E0C65" w:rsidRPr="0034506C" w:rsidRDefault="006E0C65" w:rsidP="00D35723">
      <w:pPr>
        <w:tabs>
          <w:tab w:val="center" w:pos="4513"/>
          <w:tab w:val="left" w:pos="5626"/>
        </w:tabs>
        <w:spacing w:after="0"/>
        <w:rPr>
          <w:b/>
        </w:rPr>
      </w:pPr>
    </w:p>
    <w:sectPr w:rsidR="006E0C65" w:rsidRPr="0034506C" w:rsidSect="004403B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21FC0E" w14:textId="77777777" w:rsidR="00AA3ECB" w:rsidRDefault="00AA3ECB" w:rsidP="005D700E">
      <w:pPr>
        <w:spacing w:after="0" w:line="240" w:lineRule="auto"/>
      </w:pPr>
      <w:r>
        <w:separator/>
      </w:r>
    </w:p>
  </w:endnote>
  <w:endnote w:type="continuationSeparator" w:id="0">
    <w:p w14:paraId="519B57E4" w14:textId="77777777" w:rsidR="00AA3ECB" w:rsidRDefault="00AA3ECB" w:rsidP="005D7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1A60D4" w14:textId="77777777" w:rsidR="00AA3ECB" w:rsidRDefault="00AA3ECB" w:rsidP="005D700E">
      <w:pPr>
        <w:spacing w:after="0" w:line="240" w:lineRule="auto"/>
      </w:pPr>
      <w:r>
        <w:separator/>
      </w:r>
    </w:p>
  </w:footnote>
  <w:footnote w:type="continuationSeparator" w:id="0">
    <w:p w14:paraId="02528A66" w14:textId="77777777" w:rsidR="00AA3ECB" w:rsidRDefault="00AA3ECB" w:rsidP="005D70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640" w:type="dxa"/>
      <w:tblInd w:w="-176" w:type="dxa"/>
      <w:tblLook w:val="04A0" w:firstRow="1" w:lastRow="0" w:firstColumn="1" w:lastColumn="0" w:noHBand="0" w:noVBand="1"/>
    </w:tblPr>
    <w:tblGrid>
      <w:gridCol w:w="2127"/>
      <w:gridCol w:w="3402"/>
      <w:gridCol w:w="4111"/>
    </w:tblGrid>
    <w:tr w:rsidR="0034506C" w14:paraId="2EC58642" w14:textId="77777777" w:rsidTr="00D35723">
      <w:tc>
        <w:tcPr>
          <w:tcW w:w="9640" w:type="dxa"/>
          <w:gridSpan w:val="3"/>
        </w:tcPr>
        <w:p w14:paraId="1FAC4450" w14:textId="77777777" w:rsidR="0034506C" w:rsidRPr="00314F63" w:rsidRDefault="008F5786" w:rsidP="00D35723">
          <w:pPr>
            <w:pStyle w:val="Header"/>
            <w:jc w:val="center"/>
            <w:rPr>
              <w:b/>
              <w:sz w:val="28"/>
              <w:szCs w:val="28"/>
            </w:rPr>
          </w:pPr>
          <w:r>
            <w:rPr>
              <w:rFonts w:ascii="Arial" w:hAnsi="Arial" w:cs="Arial"/>
              <w:b/>
              <w:bCs/>
              <w:noProof/>
              <w:sz w:val="15"/>
              <w:szCs w:val="15"/>
            </w:rPr>
            <w:drawing>
              <wp:inline distT="0" distB="0" distL="0" distR="0" wp14:anchorId="70A8579C" wp14:editId="0535EE17">
                <wp:extent cx="1033573" cy="784810"/>
                <wp:effectExtent l="19050" t="0" r="0" b="0"/>
                <wp:docPr id="2" name="Picture 1" descr="cid:3338544315_75967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3338544315_75967914"/>
                        <pic:cNvPicPr>
                          <a:picLocks noChangeAspect="1" noChangeArrowheads="1"/>
                        </pic:cNvPicPr>
                      </pic:nvPicPr>
                      <pic:blipFill>
                        <a:blip r:embed="rId1" r:link="rId2"/>
                        <a:srcRect/>
                        <a:stretch>
                          <a:fillRect/>
                        </a:stretch>
                      </pic:blipFill>
                      <pic:spPr bwMode="auto">
                        <a:xfrm>
                          <a:off x="0" y="0"/>
                          <a:ext cx="1033474" cy="784735"/>
                        </a:xfrm>
                        <a:prstGeom prst="rect">
                          <a:avLst/>
                        </a:prstGeom>
                        <a:noFill/>
                        <a:ln w="9525">
                          <a:noFill/>
                          <a:miter lim="800000"/>
                          <a:headEnd/>
                          <a:tailEnd/>
                        </a:ln>
                      </pic:spPr>
                    </pic:pic>
                  </a:graphicData>
                </a:graphic>
              </wp:inline>
            </w:drawing>
          </w:r>
        </w:p>
      </w:tc>
    </w:tr>
    <w:tr w:rsidR="0034506C" w14:paraId="1876FD8B" w14:textId="77777777" w:rsidTr="00D35723">
      <w:tc>
        <w:tcPr>
          <w:tcW w:w="9640" w:type="dxa"/>
          <w:gridSpan w:val="3"/>
        </w:tcPr>
        <w:p w14:paraId="6ABC599B" w14:textId="77777777" w:rsidR="0034506C" w:rsidRPr="00314F63" w:rsidRDefault="0034506C" w:rsidP="00D35723">
          <w:pPr>
            <w:pStyle w:val="Header"/>
            <w:jc w:val="center"/>
            <w:rPr>
              <w:b/>
              <w:sz w:val="32"/>
              <w:szCs w:val="32"/>
            </w:rPr>
          </w:pPr>
          <w:r>
            <w:rPr>
              <w:b/>
              <w:sz w:val="32"/>
              <w:szCs w:val="32"/>
            </w:rPr>
            <w:t>Audit Report</w:t>
          </w:r>
        </w:p>
        <w:p w14:paraId="56C68206" w14:textId="77777777" w:rsidR="0034506C" w:rsidRDefault="0034506C" w:rsidP="00D35723">
          <w:pPr>
            <w:pStyle w:val="Header"/>
            <w:jc w:val="center"/>
          </w:pPr>
        </w:p>
      </w:tc>
    </w:tr>
    <w:tr w:rsidR="0034506C" w14:paraId="2CF5BF3B" w14:textId="77777777" w:rsidTr="00D35723">
      <w:tc>
        <w:tcPr>
          <w:tcW w:w="9640" w:type="dxa"/>
          <w:gridSpan w:val="3"/>
        </w:tcPr>
        <w:p w14:paraId="27E97D69" w14:textId="77777777" w:rsidR="00F244C9" w:rsidRDefault="00F244C9" w:rsidP="00D137B6">
          <w:pPr>
            <w:pStyle w:val="Header"/>
            <w:jc w:val="center"/>
            <w:rPr>
              <w:b/>
              <w:sz w:val="28"/>
              <w:szCs w:val="28"/>
            </w:rPr>
          </w:pPr>
          <w:r>
            <w:rPr>
              <w:b/>
              <w:sz w:val="28"/>
              <w:szCs w:val="28"/>
            </w:rPr>
            <w:t>BS ISO/IEC 27001:2013</w:t>
          </w:r>
        </w:p>
        <w:p w14:paraId="32FB2DD8" w14:textId="77777777" w:rsidR="00D137B6" w:rsidRDefault="001A14D6" w:rsidP="00D137B6">
          <w:pPr>
            <w:pStyle w:val="Header"/>
            <w:jc w:val="center"/>
            <w:rPr>
              <w:b/>
              <w:sz w:val="28"/>
              <w:szCs w:val="28"/>
            </w:rPr>
          </w:pPr>
          <w:r>
            <w:rPr>
              <w:b/>
              <w:sz w:val="28"/>
              <w:szCs w:val="28"/>
            </w:rPr>
            <w:t>BS EN ISO 14001:2015</w:t>
          </w:r>
        </w:p>
        <w:p w14:paraId="437CFCA9" w14:textId="2543B384" w:rsidR="00231A42" w:rsidRPr="00314F63" w:rsidRDefault="00231A42" w:rsidP="00D137B6">
          <w:pPr>
            <w:pStyle w:val="Header"/>
            <w:jc w:val="center"/>
            <w:rPr>
              <w:b/>
              <w:sz w:val="28"/>
              <w:szCs w:val="28"/>
            </w:rPr>
          </w:pPr>
          <w:r w:rsidRPr="00231A42">
            <w:rPr>
              <w:b/>
              <w:sz w:val="28"/>
              <w:szCs w:val="28"/>
            </w:rPr>
            <w:t xml:space="preserve">BS EN ISO </w:t>
          </w:r>
          <w:r>
            <w:rPr>
              <w:b/>
              <w:sz w:val="28"/>
              <w:szCs w:val="28"/>
            </w:rPr>
            <w:t>9</w:t>
          </w:r>
          <w:r w:rsidRPr="00231A42">
            <w:rPr>
              <w:b/>
              <w:sz w:val="28"/>
              <w:szCs w:val="28"/>
            </w:rPr>
            <w:t>001:2015</w:t>
          </w:r>
        </w:p>
      </w:tc>
    </w:tr>
    <w:tr w:rsidR="0034506C" w14:paraId="2A3AFA34" w14:textId="77777777" w:rsidTr="00D35723">
      <w:tc>
        <w:tcPr>
          <w:tcW w:w="2127" w:type="dxa"/>
        </w:tcPr>
        <w:p w14:paraId="6AB5FA1F" w14:textId="1A39CDFE" w:rsidR="0034506C" w:rsidRPr="006F6A8D" w:rsidRDefault="0034506C" w:rsidP="006F6A8D">
          <w:pPr>
            <w:pStyle w:val="Header"/>
            <w:rPr>
              <w:b/>
              <w:sz w:val="24"/>
              <w:szCs w:val="24"/>
            </w:rPr>
          </w:pPr>
          <w:r w:rsidRPr="006F6A8D">
            <w:rPr>
              <w:b/>
              <w:sz w:val="24"/>
              <w:szCs w:val="24"/>
            </w:rPr>
            <w:t xml:space="preserve">Issue </w:t>
          </w:r>
          <w:r w:rsidR="00231A42">
            <w:rPr>
              <w:b/>
              <w:sz w:val="24"/>
              <w:szCs w:val="24"/>
            </w:rPr>
            <w:t>2</w:t>
          </w:r>
        </w:p>
      </w:tc>
      <w:tc>
        <w:tcPr>
          <w:tcW w:w="3402" w:type="dxa"/>
        </w:tcPr>
        <w:p w14:paraId="6249603C" w14:textId="77777777" w:rsidR="0034506C" w:rsidRPr="00314F63" w:rsidRDefault="0034506C" w:rsidP="005D700E">
          <w:pPr>
            <w:pStyle w:val="Header"/>
            <w:rPr>
              <w:b/>
              <w:sz w:val="24"/>
              <w:szCs w:val="24"/>
            </w:rPr>
          </w:pPr>
          <w:r w:rsidRPr="00314F63">
            <w:rPr>
              <w:b/>
              <w:sz w:val="24"/>
              <w:szCs w:val="24"/>
            </w:rPr>
            <w:t xml:space="preserve">Ref. </w:t>
          </w:r>
          <w:r>
            <w:rPr>
              <w:b/>
              <w:sz w:val="24"/>
              <w:szCs w:val="24"/>
            </w:rPr>
            <w:t>AUDIT</w:t>
          </w:r>
        </w:p>
      </w:tc>
      <w:tc>
        <w:tcPr>
          <w:tcW w:w="4111" w:type="dxa"/>
        </w:tcPr>
        <w:p w14:paraId="33FDC9FF" w14:textId="77777777" w:rsidR="0034506C" w:rsidRPr="00314F63" w:rsidRDefault="0034506C" w:rsidP="00D35723">
          <w:pPr>
            <w:pStyle w:val="Header"/>
            <w:rPr>
              <w:b/>
              <w:sz w:val="24"/>
              <w:szCs w:val="24"/>
            </w:rPr>
          </w:pPr>
          <w:r w:rsidRPr="00314F63">
            <w:rPr>
              <w:b/>
              <w:sz w:val="24"/>
              <w:szCs w:val="24"/>
            </w:rPr>
            <w:t>Authorised by:-</w:t>
          </w:r>
          <w:r w:rsidR="003913D3">
            <w:rPr>
              <w:b/>
              <w:sz w:val="24"/>
              <w:szCs w:val="24"/>
            </w:rPr>
            <w:t xml:space="preserve"> K Burnell</w:t>
          </w:r>
        </w:p>
      </w:tc>
    </w:tr>
    <w:tr w:rsidR="0034506C" w14:paraId="4FC2B2FC" w14:textId="77777777" w:rsidTr="00D35723">
      <w:tc>
        <w:tcPr>
          <w:tcW w:w="2127" w:type="dxa"/>
        </w:tcPr>
        <w:sdt>
          <w:sdtPr>
            <w:id w:val="250395305"/>
            <w:docPartObj>
              <w:docPartGallery w:val="Page Numbers (Top of Page)"/>
              <w:docPartUnique/>
            </w:docPartObj>
          </w:sdtPr>
          <w:sdtEndPr/>
          <w:sdtContent>
            <w:p w14:paraId="339D6A11" w14:textId="77777777" w:rsidR="0034506C" w:rsidRPr="00D05F54" w:rsidRDefault="00D05F54" w:rsidP="00D05F54">
              <w:r w:rsidRPr="00D05F54">
                <w:rPr>
                  <w:b/>
                  <w:sz w:val="24"/>
                </w:rPr>
                <w:t xml:space="preserve">Page </w:t>
              </w:r>
              <w:r w:rsidR="00CF47F6" w:rsidRPr="00D05F54">
                <w:rPr>
                  <w:b/>
                  <w:sz w:val="24"/>
                </w:rPr>
                <w:fldChar w:fldCharType="begin"/>
              </w:r>
              <w:r w:rsidRPr="00D05F54">
                <w:rPr>
                  <w:b/>
                  <w:sz w:val="24"/>
                </w:rPr>
                <w:instrText xml:space="preserve"> PAGE </w:instrText>
              </w:r>
              <w:r w:rsidR="00CF47F6" w:rsidRPr="00D05F54">
                <w:rPr>
                  <w:b/>
                  <w:sz w:val="24"/>
                </w:rPr>
                <w:fldChar w:fldCharType="separate"/>
              </w:r>
              <w:r w:rsidR="00AC05FA">
                <w:rPr>
                  <w:b/>
                  <w:noProof/>
                  <w:sz w:val="24"/>
                </w:rPr>
                <w:t>4</w:t>
              </w:r>
              <w:r w:rsidR="00CF47F6" w:rsidRPr="00D05F54">
                <w:rPr>
                  <w:b/>
                  <w:sz w:val="24"/>
                </w:rPr>
                <w:fldChar w:fldCharType="end"/>
              </w:r>
              <w:r w:rsidRPr="00D05F54">
                <w:rPr>
                  <w:b/>
                  <w:sz w:val="24"/>
                </w:rPr>
                <w:t xml:space="preserve"> of </w:t>
              </w:r>
              <w:r w:rsidR="00CF47F6" w:rsidRPr="00D05F54">
                <w:rPr>
                  <w:b/>
                  <w:sz w:val="24"/>
                </w:rPr>
                <w:fldChar w:fldCharType="begin"/>
              </w:r>
              <w:r w:rsidRPr="00D05F54">
                <w:rPr>
                  <w:b/>
                  <w:sz w:val="24"/>
                </w:rPr>
                <w:instrText xml:space="preserve"> NUMPAGES  </w:instrText>
              </w:r>
              <w:r w:rsidR="00CF47F6" w:rsidRPr="00D05F54">
                <w:rPr>
                  <w:b/>
                  <w:sz w:val="24"/>
                </w:rPr>
                <w:fldChar w:fldCharType="separate"/>
              </w:r>
              <w:r w:rsidR="00AC05FA">
                <w:rPr>
                  <w:b/>
                  <w:noProof/>
                  <w:sz w:val="24"/>
                </w:rPr>
                <w:t>5</w:t>
              </w:r>
              <w:r w:rsidR="00CF47F6" w:rsidRPr="00D05F54">
                <w:rPr>
                  <w:b/>
                  <w:sz w:val="24"/>
                </w:rPr>
                <w:fldChar w:fldCharType="end"/>
              </w:r>
            </w:p>
          </w:sdtContent>
        </w:sdt>
      </w:tc>
      <w:tc>
        <w:tcPr>
          <w:tcW w:w="3402" w:type="dxa"/>
        </w:tcPr>
        <w:p w14:paraId="38FAEB76" w14:textId="3391BF34" w:rsidR="0034506C" w:rsidRPr="00314F63" w:rsidRDefault="0034506C" w:rsidP="008F5786">
          <w:pPr>
            <w:pStyle w:val="Header"/>
            <w:rPr>
              <w:b/>
              <w:sz w:val="24"/>
              <w:szCs w:val="24"/>
            </w:rPr>
          </w:pPr>
          <w:r w:rsidRPr="00314F63">
            <w:rPr>
              <w:b/>
              <w:sz w:val="24"/>
              <w:szCs w:val="24"/>
            </w:rPr>
            <w:t>Effective Date:</w:t>
          </w:r>
          <w:r w:rsidR="00231A42">
            <w:rPr>
              <w:b/>
              <w:sz w:val="24"/>
              <w:szCs w:val="24"/>
            </w:rPr>
            <w:t>1</w:t>
          </w:r>
          <w:r w:rsidR="00231A42" w:rsidRPr="00231A42">
            <w:rPr>
              <w:b/>
              <w:sz w:val="24"/>
              <w:szCs w:val="24"/>
              <w:vertAlign w:val="superscript"/>
            </w:rPr>
            <w:t>st</w:t>
          </w:r>
          <w:r w:rsidR="00231A42">
            <w:rPr>
              <w:b/>
              <w:sz w:val="24"/>
              <w:szCs w:val="24"/>
            </w:rPr>
            <w:t xml:space="preserve"> July 2018</w:t>
          </w:r>
        </w:p>
      </w:tc>
      <w:tc>
        <w:tcPr>
          <w:tcW w:w="4111" w:type="dxa"/>
        </w:tcPr>
        <w:p w14:paraId="0D27ED2E" w14:textId="77777777" w:rsidR="0034506C" w:rsidRPr="00314F63" w:rsidRDefault="0034506C" w:rsidP="00D35723">
          <w:pPr>
            <w:pStyle w:val="Header"/>
            <w:rPr>
              <w:b/>
              <w:sz w:val="24"/>
              <w:szCs w:val="24"/>
            </w:rPr>
          </w:pPr>
          <w:r w:rsidRPr="00314F63">
            <w:rPr>
              <w:b/>
              <w:sz w:val="24"/>
              <w:szCs w:val="24"/>
            </w:rPr>
            <w:t xml:space="preserve">Classification – </w:t>
          </w:r>
          <w:r>
            <w:rPr>
              <w:b/>
              <w:sz w:val="24"/>
              <w:szCs w:val="24"/>
            </w:rPr>
            <w:t>Restricted Access</w:t>
          </w:r>
        </w:p>
      </w:tc>
    </w:tr>
  </w:tbl>
  <w:p w14:paraId="7B594D01" w14:textId="77777777" w:rsidR="0034506C" w:rsidRDefault="003450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D25F8D"/>
    <w:multiLevelType w:val="hybridMultilevel"/>
    <w:tmpl w:val="621C5F18"/>
    <w:lvl w:ilvl="0" w:tplc="9ED6102A">
      <w:start w:val="1"/>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DBC2EF9"/>
    <w:multiLevelType w:val="hybridMultilevel"/>
    <w:tmpl w:val="AEAC89D8"/>
    <w:lvl w:ilvl="0" w:tplc="AC02675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752B4C1F"/>
    <w:multiLevelType w:val="hybridMultilevel"/>
    <w:tmpl w:val="E22C6770"/>
    <w:lvl w:ilvl="0" w:tplc="5ED4754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00E"/>
    <w:rsid w:val="00014C21"/>
    <w:rsid w:val="00026F65"/>
    <w:rsid w:val="00027D87"/>
    <w:rsid w:val="000458ED"/>
    <w:rsid w:val="0007649C"/>
    <w:rsid w:val="00082A5A"/>
    <w:rsid w:val="000B2FE8"/>
    <w:rsid w:val="000B6537"/>
    <w:rsid w:val="000E55A6"/>
    <w:rsid w:val="000F1ED6"/>
    <w:rsid w:val="000F5A3F"/>
    <w:rsid w:val="001207D8"/>
    <w:rsid w:val="0013779C"/>
    <w:rsid w:val="001529ED"/>
    <w:rsid w:val="001A14D6"/>
    <w:rsid w:val="001C3DD9"/>
    <w:rsid w:val="00223263"/>
    <w:rsid w:val="00231A42"/>
    <w:rsid w:val="002718E8"/>
    <w:rsid w:val="002747DE"/>
    <w:rsid w:val="0028684E"/>
    <w:rsid w:val="002C6843"/>
    <w:rsid w:val="002E784E"/>
    <w:rsid w:val="0034506C"/>
    <w:rsid w:val="003913D3"/>
    <w:rsid w:val="003B2DB6"/>
    <w:rsid w:val="003D6B7A"/>
    <w:rsid w:val="00405813"/>
    <w:rsid w:val="00436D98"/>
    <w:rsid w:val="004403B8"/>
    <w:rsid w:val="004459FB"/>
    <w:rsid w:val="004769FF"/>
    <w:rsid w:val="004A0F70"/>
    <w:rsid w:val="004D45AB"/>
    <w:rsid w:val="004D5556"/>
    <w:rsid w:val="004E59C4"/>
    <w:rsid w:val="00516955"/>
    <w:rsid w:val="005532AA"/>
    <w:rsid w:val="00562E66"/>
    <w:rsid w:val="005722EB"/>
    <w:rsid w:val="005C4C8A"/>
    <w:rsid w:val="005D700E"/>
    <w:rsid w:val="006145AB"/>
    <w:rsid w:val="006307C9"/>
    <w:rsid w:val="00633FC8"/>
    <w:rsid w:val="00666281"/>
    <w:rsid w:val="006D437E"/>
    <w:rsid w:val="006E0C65"/>
    <w:rsid w:val="006F6A8D"/>
    <w:rsid w:val="00700223"/>
    <w:rsid w:val="007A4086"/>
    <w:rsid w:val="007B5D38"/>
    <w:rsid w:val="007E39FC"/>
    <w:rsid w:val="008077FE"/>
    <w:rsid w:val="008460F5"/>
    <w:rsid w:val="00850B1B"/>
    <w:rsid w:val="00896016"/>
    <w:rsid w:val="008C6243"/>
    <w:rsid w:val="008D69FA"/>
    <w:rsid w:val="008F5786"/>
    <w:rsid w:val="0092340B"/>
    <w:rsid w:val="00933D4B"/>
    <w:rsid w:val="009A08C2"/>
    <w:rsid w:val="009B4D19"/>
    <w:rsid w:val="009B7F65"/>
    <w:rsid w:val="009E41BC"/>
    <w:rsid w:val="009F4C40"/>
    <w:rsid w:val="00A904D8"/>
    <w:rsid w:val="00A93292"/>
    <w:rsid w:val="00AA3ECB"/>
    <w:rsid w:val="00AC05FA"/>
    <w:rsid w:val="00AC6799"/>
    <w:rsid w:val="00AE4DB8"/>
    <w:rsid w:val="00B11078"/>
    <w:rsid w:val="00B251A4"/>
    <w:rsid w:val="00B26696"/>
    <w:rsid w:val="00B52CC7"/>
    <w:rsid w:val="00BA5C5C"/>
    <w:rsid w:val="00BD7BD9"/>
    <w:rsid w:val="00BF30AF"/>
    <w:rsid w:val="00C116ED"/>
    <w:rsid w:val="00C72168"/>
    <w:rsid w:val="00C91D3E"/>
    <w:rsid w:val="00CC596F"/>
    <w:rsid w:val="00CF47F6"/>
    <w:rsid w:val="00CF47F8"/>
    <w:rsid w:val="00D05F54"/>
    <w:rsid w:val="00D137B6"/>
    <w:rsid w:val="00D35723"/>
    <w:rsid w:val="00D6283A"/>
    <w:rsid w:val="00DA1028"/>
    <w:rsid w:val="00DA5787"/>
    <w:rsid w:val="00DC35CD"/>
    <w:rsid w:val="00DC4999"/>
    <w:rsid w:val="00E03D51"/>
    <w:rsid w:val="00E62B02"/>
    <w:rsid w:val="00E87D0F"/>
    <w:rsid w:val="00EF3EEA"/>
    <w:rsid w:val="00EF7C93"/>
    <w:rsid w:val="00F05FA3"/>
    <w:rsid w:val="00F244C9"/>
    <w:rsid w:val="00F40ADD"/>
    <w:rsid w:val="00F52B08"/>
    <w:rsid w:val="00FA3CC3"/>
    <w:rsid w:val="00FB3B2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273BD"/>
  <w15:docId w15:val="{0D53C7ED-6C2F-41D6-9402-5EA37762E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0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00E"/>
  </w:style>
  <w:style w:type="paragraph" w:styleId="Footer">
    <w:name w:val="footer"/>
    <w:basedOn w:val="Normal"/>
    <w:link w:val="FooterChar"/>
    <w:uiPriority w:val="99"/>
    <w:unhideWhenUsed/>
    <w:rsid w:val="005D70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00E"/>
  </w:style>
  <w:style w:type="table" w:styleId="TableGrid">
    <w:name w:val="Table Grid"/>
    <w:basedOn w:val="TableNormal"/>
    <w:uiPriority w:val="59"/>
    <w:rsid w:val="005D7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7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00E"/>
    <w:rPr>
      <w:rFonts w:ascii="Tahoma" w:hAnsi="Tahoma" w:cs="Tahoma"/>
      <w:sz w:val="16"/>
      <w:szCs w:val="16"/>
    </w:rPr>
  </w:style>
  <w:style w:type="paragraph" w:styleId="ListParagraph">
    <w:name w:val="List Paragraph"/>
    <w:basedOn w:val="Normal"/>
    <w:uiPriority w:val="34"/>
    <w:qFormat/>
    <w:rsid w:val="00562E66"/>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523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jpg@01D06AC9.345CC49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5</Pages>
  <Words>1052</Words>
  <Characters>6003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dc:creator>
  <cp:keywords/>
  <dc:description/>
  <cp:lastModifiedBy>Kevin Burnell</cp:lastModifiedBy>
  <cp:revision>12</cp:revision>
  <dcterms:created xsi:type="dcterms:W3CDTF">2018-09-15T09:08:00Z</dcterms:created>
  <dcterms:modified xsi:type="dcterms:W3CDTF">2018-09-15T14:28:00Z</dcterms:modified>
</cp:coreProperties>
</file>